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A490" w14:textId="1A0FE7C6" w:rsidR="00E5488A" w:rsidRDefault="0055745E" w:rsidP="00FF4AEA">
      <w:pPr>
        <w:pStyle w:val="TOCTITLE"/>
      </w:pPr>
      <w:r>
        <w:t>APPENDIX</w:t>
      </w:r>
      <w:r w:rsidR="00E5488A">
        <w:t xml:space="preserve"> </w:t>
      </w:r>
      <w:r w:rsidR="00BA1D95">
        <w:t>D</w:t>
      </w:r>
      <w:r w:rsidR="00E5488A">
        <w:t>: Planning Code of Conduct</w:t>
      </w:r>
    </w:p>
    <w:p w14:paraId="00225F4E" w14:textId="7BF52242" w:rsidR="00270533" w:rsidRPr="00A94D14" w:rsidRDefault="003A0B09" w:rsidP="00772A61">
      <w:pPr>
        <w:pStyle w:val="BodyText"/>
        <w:numPr>
          <w:ilvl w:val="0"/>
          <w:numId w:val="0"/>
        </w:numPr>
      </w:pPr>
      <w:r w:rsidRPr="008055A7">
        <w:t xml:space="preserve">This appendix contains a model </w:t>
      </w:r>
      <w:r>
        <w:t>c</w:t>
      </w:r>
      <w:r w:rsidRPr="008055A7">
        <w:t>ode, based on the Local Government Association’s advice, is intended to reinforce Councillors’ community engagement role whilst maintaining good standards of probity that minimises the risk of legal challenge or complaint to the Ombudsman</w:t>
      </w:r>
      <w:r w:rsidR="00772A61">
        <w:t>.</w:t>
      </w:r>
    </w:p>
    <w:p w14:paraId="0897F924" w14:textId="7DC72EA0" w:rsidR="00FF4AEA" w:rsidRDefault="00FF4AEA" w:rsidP="00FF4AEA">
      <w:pPr>
        <w:pStyle w:val="TOCTITLE"/>
      </w:pPr>
      <w:r>
        <w:t>Contents</w:t>
      </w:r>
    </w:p>
    <w:p w14:paraId="0A5455AC" w14:textId="6A97995C" w:rsidR="005C4555" w:rsidRDefault="00306BEA">
      <w:pPr>
        <w:pStyle w:val="TOC1"/>
        <w:rPr>
          <w:rFonts w:asciiTheme="minorHAnsi" w:eastAsiaTheme="minorEastAsia" w:hAnsiTheme="minorHAnsi" w:cstheme="minorBidi"/>
          <w:bCs w:val="0"/>
          <w:snapToGrid/>
          <w:color w:val="auto"/>
          <w:kern w:val="2"/>
          <w14:ligatures w14:val="standardContextual"/>
        </w:rPr>
      </w:pPr>
      <w:r>
        <w:rPr>
          <w:color w:val="000000" w:themeColor="text1"/>
        </w:rPr>
        <w:fldChar w:fldCharType="begin"/>
      </w:r>
      <w:r w:rsidRPr="00EB2BD8">
        <w:rPr>
          <w:color w:val="000000" w:themeColor="text1"/>
        </w:rPr>
        <w:instrText xml:space="preserve"> TOC \o "1-</w:instrText>
      </w:r>
      <w:r w:rsidR="007D1FFE">
        <w:rPr>
          <w:color w:val="000000" w:themeColor="text1"/>
        </w:rPr>
        <w:instrText>2</w:instrText>
      </w:r>
      <w:r w:rsidRPr="00EB2BD8">
        <w:rPr>
          <w:color w:val="000000" w:themeColor="text1"/>
        </w:rPr>
        <w:instrText xml:space="preserve">" </w:instrText>
      </w:r>
      <w:r>
        <w:rPr>
          <w:color w:val="000000" w:themeColor="text1"/>
        </w:rPr>
        <w:fldChar w:fldCharType="separate"/>
      </w:r>
      <w:r w:rsidR="005C4555">
        <w:t>1</w:t>
      </w:r>
      <w:r w:rsidR="005C4555">
        <w:rPr>
          <w:rFonts w:asciiTheme="minorHAnsi" w:eastAsiaTheme="minorEastAsia" w:hAnsiTheme="minorHAnsi" w:cstheme="minorBidi"/>
          <w:bCs w:val="0"/>
          <w:snapToGrid/>
          <w:color w:val="auto"/>
          <w:kern w:val="2"/>
          <w14:ligatures w14:val="standardContextual"/>
        </w:rPr>
        <w:tab/>
      </w:r>
      <w:r w:rsidR="005C4555">
        <w:t>Key Purpose Of Planning</w:t>
      </w:r>
      <w:r w:rsidR="005C4555">
        <w:tab/>
      </w:r>
      <w:r w:rsidR="005C4555">
        <w:fldChar w:fldCharType="begin"/>
      </w:r>
      <w:r w:rsidR="005C4555">
        <w:instrText xml:space="preserve"> PAGEREF _Toc231316480 \h </w:instrText>
      </w:r>
      <w:r w:rsidR="005C4555">
        <w:fldChar w:fldCharType="separate"/>
      </w:r>
      <w:r w:rsidR="005C4555">
        <w:t>2</w:t>
      </w:r>
      <w:r w:rsidR="005C4555">
        <w:fldChar w:fldCharType="end"/>
      </w:r>
    </w:p>
    <w:p w14:paraId="606765C0" w14:textId="2FFD0575" w:rsidR="005C4555" w:rsidRDefault="005C4555">
      <w:pPr>
        <w:pStyle w:val="TOC1"/>
        <w:rPr>
          <w:rFonts w:asciiTheme="minorHAnsi" w:eastAsiaTheme="minorEastAsia" w:hAnsiTheme="minorHAnsi" w:cstheme="minorBidi"/>
          <w:bCs w:val="0"/>
          <w:snapToGrid/>
          <w:color w:val="auto"/>
          <w:kern w:val="2"/>
          <w14:ligatures w14:val="standardContextual"/>
        </w:rPr>
      </w:pPr>
      <w:r>
        <w:t>2</w:t>
      </w:r>
      <w:r>
        <w:rPr>
          <w:rFonts w:asciiTheme="minorHAnsi" w:eastAsiaTheme="minorEastAsia" w:hAnsiTheme="minorHAnsi" w:cstheme="minorBidi"/>
          <w:bCs w:val="0"/>
          <w:snapToGrid/>
          <w:color w:val="auto"/>
          <w:kern w:val="2"/>
          <w14:ligatures w14:val="standardContextual"/>
        </w:rPr>
        <w:tab/>
      </w:r>
      <w:r>
        <w:t>Aim Of The Code</w:t>
      </w:r>
      <w:r>
        <w:tab/>
      </w:r>
      <w:r>
        <w:fldChar w:fldCharType="begin"/>
      </w:r>
      <w:r>
        <w:instrText xml:space="preserve"> PAGEREF _Toc231316481 \h </w:instrText>
      </w:r>
      <w:r>
        <w:fldChar w:fldCharType="separate"/>
      </w:r>
      <w:r>
        <w:t>2</w:t>
      </w:r>
      <w:r>
        <w:fldChar w:fldCharType="end"/>
      </w:r>
    </w:p>
    <w:p w14:paraId="79B74E6A" w14:textId="291B75E8" w:rsidR="005C4555" w:rsidRDefault="005C4555">
      <w:pPr>
        <w:pStyle w:val="TOC2"/>
        <w:rPr>
          <w:rFonts w:asciiTheme="minorHAnsi" w:eastAsiaTheme="minorEastAsia" w:hAnsiTheme="minorHAnsi" w:cstheme="minorBidi"/>
          <w:bCs w:val="0"/>
          <w:snapToGrid/>
          <w:color w:val="auto"/>
          <w:kern w:val="2"/>
          <w14:ligatures w14:val="standardContextual"/>
        </w:rPr>
      </w:pPr>
      <w:r>
        <w:t>When The Code Applies</w:t>
      </w:r>
      <w:r>
        <w:tab/>
      </w:r>
      <w:r>
        <w:fldChar w:fldCharType="begin"/>
      </w:r>
      <w:r>
        <w:instrText xml:space="preserve"> PAGEREF _Toc231316482 \h </w:instrText>
      </w:r>
      <w:r>
        <w:fldChar w:fldCharType="separate"/>
      </w:r>
      <w:r>
        <w:t>3</w:t>
      </w:r>
      <w:r>
        <w:fldChar w:fldCharType="end"/>
      </w:r>
    </w:p>
    <w:p w14:paraId="08482648" w14:textId="61605559" w:rsidR="005C4555" w:rsidRDefault="005C4555">
      <w:pPr>
        <w:pStyle w:val="TOC2"/>
        <w:rPr>
          <w:rFonts w:asciiTheme="minorHAnsi" w:eastAsiaTheme="minorEastAsia" w:hAnsiTheme="minorHAnsi" w:cstheme="minorBidi"/>
          <w:bCs w:val="0"/>
          <w:snapToGrid/>
          <w:color w:val="auto"/>
          <w:kern w:val="2"/>
          <w14:ligatures w14:val="standardContextual"/>
        </w:rPr>
      </w:pPr>
      <w:r>
        <w:t>Relationship To The Members' Code Of Conduct</w:t>
      </w:r>
      <w:r>
        <w:tab/>
      </w:r>
      <w:r>
        <w:fldChar w:fldCharType="begin"/>
      </w:r>
      <w:r>
        <w:instrText xml:space="preserve"> PAGEREF _Toc231316483 \h </w:instrText>
      </w:r>
      <w:r>
        <w:fldChar w:fldCharType="separate"/>
      </w:r>
      <w:r>
        <w:t>3</w:t>
      </w:r>
      <w:r>
        <w:fldChar w:fldCharType="end"/>
      </w:r>
    </w:p>
    <w:p w14:paraId="52F14FAD" w14:textId="597BA438" w:rsidR="005C4555" w:rsidRDefault="005C4555">
      <w:pPr>
        <w:pStyle w:val="TOC1"/>
        <w:rPr>
          <w:rFonts w:asciiTheme="minorHAnsi" w:eastAsiaTheme="minorEastAsia" w:hAnsiTheme="minorHAnsi" w:cstheme="minorBidi"/>
          <w:bCs w:val="0"/>
          <w:snapToGrid/>
          <w:color w:val="auto"/>
          <w:kern w:val="2"/>
          <w14:ligatures w14:val="standardContextual"/>
        </w:rPr>
      </w:pPr>
      <w:r>
        <w:t>3</w:t>
      </w:r>
      <w:r>
        <w:rPr>
          <w:rFonts w:asciiTheme="minorHAnsi" w:eastAsiaTheme="minorEastAsia" w:hAnsiTheme="minorHAnsi" w:cstheme="minorBidi"/>
          <w:bCs w:val="0"/>
          <w:snapToGrid/>
          <w:color w:val="auto"/>
          <w:kern w:val="2"/>
          <w14:ligatures w14:val="standardContextual"/>
        </w:rPr>
        <w:tab/>
      </w:r>
      <w:r>
        <w:t>Role And Conduct Of Councillors And Officers</w:t>
      </w:r>
      <w:r>
        <w:tab/>
      </w:r>
      <w:r>
        <w:fldChar w:fldCharType="begin"/>
      </w:r>
      <w:r>
        <w:instrText xml:space="preserve"> PAGEREF _Toc231316484 \h </w:instrText>
      </w:r>
      <w:r>
        <w:fldChar w:fldCharType="separate"/>
      </w:r>
      <w:r>
        <w:t>3</w:t>
      </w:r>
      <w:r>
        <w:fldChar w:fldCharType="end"/>
      </w:r>
    </w:p>
    <w:p w14:paraId="0E8A908B" w14:textId="7FB12089" w:rsidR="005C4555" w:rsidRDefault="005C4555">
      <w:pPr>
        <w:pStyle w:val="TOC2"/>
        <w:rPr>
          <w:rFonts w:asciiTheme="minorHAnsi" w:eastAsiaTheme="minorEastAsia" w:hAnsiTheme="minorHAnsi" w:cstheme="minorBidi"/>
          <w:bCs w:val="0"/>
          <w:snapToGrid/>
          <w:color w:val="auto"/>
          <w:kern w:val="2"/>
          <w14:ligatures w14:val="standardContextual"/>
        </w:rPr>
      </w:pPr>
      <w:r>
        <w:t>General Roles Of Councillors And Officers</w:t>
      </w:r>
      <w:r>
        <w:tab/>
      </w:r>
      <w:r>
        <w:fldChar w:fldCharType="begin"/>
      </w:r>
      <w:r>
        <w:instrText xml:space="preserve"> PAGEREF _Toc231316485 \h </w:instrText>
      </w:r>
      <w:r>
        <w:fldChar w:fldCharType="separate"/>
      </w:r>
      <w:r>
        <w:t>3</w:t>
      </w:r>
      <w:r>
        <w:fldChar w:fldCharType="end"/>
      </w:r>
    </w:p>
    <w:p w14:paraId="74D7DF29" w14:textId="56251853" w:rsidR="005C4555" w:rsidRDefault="005C4555">
      <w:pPr>
        <w:pStyle w:val="TOC2"/>
        <w:rPr>
          <w:rFonts w:asciiTheme="minorHAnsi" w:eastAsiaTheme="minorEastAsia" w:hAnsiTheme="minorHAnsi" w:cstheme="minorBidi"/>
          <w:bCs w:val="0"/>
          <w:snapToGrid/>
          <w:color w:val="auto"/>
          <w:kern w:val="2"/>
          <w14:ligatures w14:val="standardContextual"/>
        </w:rPr>
      </w:pPr>
      <w:r>
        <w:t>Relationship Between Councillors And Officers</w:t>
      </w:r>
      <w:r>
        <w:tab/>
      </w:r>
      <w:r>
        <w:fldChar w:fldCharType="begin"/>
      </w:r>
      <w:r>
        <w:instrText xml:space="preserve"> PAGEREF _Toc231316486 \h </w:instrText>
      </w:r>
      <w:r>
        <w:fldChar w:fldCharType="separate"/>
      </w:r>
      <w:r>
        <w:t>4</w:t>
      </w:r>
      <w:r>
        <w:fldChar w:fldCharType="end"/>
      </w:r>
    </w:p>
    <w:p w14:paraId="189930B7" w14:textId="246903EB" w:rsidR="005C4555" w:rsidRDefault="005C4555">
      <w:pPr>
        <w:pStyle w:val="TOC1"/>
        <w:rPr>
          <w:rFonts w:asciiTheme="minorHAnsi" w:eastAsiaTheme="minorEastAsia" w:hAnsiTheme="minorHAnsi" w:cstheme="minorBidi"/>
          <w:bCs w:val="0"/>
          <w:snapToGrid/>
          <w:color w:val="auto"/>
          <w:kern w:val="2"/>
          <w14:ligatures w14:val="standardContextual"/>
        </w:rPr>
      </w:pPr>
      <w:r>
        <w:t>4</w:t>
      </w:r>
      <w:r>
        <w:rPr>
          <w:rFonts w:asciiTheme="minorHAnsi" w:eastAsiaTheme="minorEastAsia" w:hAnsiTheme="minorHAnsi" w:cstheme="minorBidi"/>
          <w:bCs w:val="0"/>
          <w:snapToGrid/>
          <w:color w:val="auto"/>
          <w:kern w:val="2"/>
          <w14:ligatures w14:val="standardContextual"/>
        </w:rPr>
        <w:tab/>
      </w:r>
      <w:r>
        <w:t>Interests: Registration And Disclosure</w:t>
      </w:r>
      <w:r>
        <w:tab/>
      </w:r>
      <w:r>
        <w:fldChar w:fldCharType="begin"/>
      </w:r>
      <w:r>
        <w:instrText xml:space="preserve"> PAGEREF _Toc231316487 \h </w:instrText>
      </w:r>
      <w:r>
        <w:fldChar w:fldCharType="separate"/>
      </w:r>
      <w:r>
        <w:t>4</w:t>
      </w:r>
      <w:r>
        <w:fldChar w:fldCharType="end"/>
      </w:r>
    </w:p>
    <w:p w14:paraId="47EEA9E2" w14:textId="76122FF0" w:rsidR="005C4555" w:rsidRDefault="005C4555">
      <w:pPr>
        <w:pStyle w:val="TOC2"/>
        <w:rPr>
          <w:rFonts w:asciiTheme="minorHAnsi" w:eastAsiaTheme="minorEastAsia" w:hAnsiTheme="minorHAnsi" w:cstheme="minorBidi"/>
          <w:bCs w:val="0"/>
          <w:snapToGrid/>
          <w:color w:val="auto"/>
          <w:kern w:val="2"/>
          <w14:ligatures w14:val="standardContextual"/>
        </w:rPr>
      </w:pPr>
      <w:r>
        <w:t>Registration Of Interests</w:t>
      </w:r>
      <w:r>
        <w:tab/>
      </w:r>
      <w:r>
        <w:fldChar w:fldCharType="begin"/>
      </w:r>
      <w:r>
        <w:instrText xml:space="preserve"> PAGEREF _Toc231316488 \h </w:instrText>
      </w:r>
      <w:r>
        <w:fldChar w:fldCharType="separate"/>
      </w:r>
      <w:r>
        <w:t>4</w:t>
      </w:r>
      <w:r>
        <w:fldChar w:fldCharType="end"/>
      </w:r>
    </w:p>
    <w:p w14:paraId="29F80EEE" w14:textId="6F5ED48B" w:rsidR="005C4555" w:rsidRDefault="005C4555">
      <w:pPr>
        <w:pStyle w:val="TOC2"/>
        <w:rPr>
          <w:rFonts w:asciiTheme="minorHAnsi" w:eastAsiaTheme="minorEastAsia" w:hAnsiTheme="minorHAnsi" w:cstheme="minorBidi"/>
          <w:bCs w:val="0"/>
          <w:snapToGrid/>
          <w:color w:val="auto"/>
          <w:kern w:val="2"/>
          <w14:ligatures w14:val="standardContextual"/>
        </w:rPr>
      </w:pPr>
      <w:r>
        <w:t>Disclosure Of Interests</w:t>
      </w:r>
      <w:r>
        <w:tab/>
      </w:r>
      <w:r>
        <w:fldChar w:fldCharType="begin"/>
      </w:r>
      <w:r>
        <w:instrText xml:space="preserve"> PAGEREF _Toc231316489 \h </w:instrText>
      </w:r>
      <w:r>
        <w:fldChar w:fldCharType="separate"/>
      </w:r>
      <w:r>
        <w:t>4</w:t>
      </w:r>
      <w:r>
        <w:fldChar w:fldCharType="end"/>
      </w:r>
    </w:p>
    <w:p w14:paraId="2C619368" w14:textId="18CBA044" w:rsidR="005C4555" w:rsidRDefault="005C4555">
      <w:pPr>
        <w:pStyle w:val="TOC2"/>
        <w:rPr>
          <w:rFonts w:asciiTheme="minorHAnsi" w:eastAsiaTheme="minorEastAsia" w:hAnsiTheme="minorHAnsi" w:cstheme="minorBidi"/>
          <w:bCs w:val="0"/>
          <w:snapToGrid/>
          <w:color w:val="auto"/>
          <w:kern w:val="2"/>
          <w14:ligatures w14:val="standardContextual"/>
        </w:rPr>
      </w:pPr>
      <w:r>
        <w:t>Personal And Pecuniary Interests</w:t>
      </w:r>
      <w:r>
        <w:tab/>
      </w:r>
      <w:r>
        <w:fldChar w:fldCharType="begin"/>
      </w:r>
      <w:r>
        <w:instrText xml:space="preserve"> PAGEREF _Toc231316490 \h </w:instrText>
      </w:r>
      <w:r>
        <w:fldChar w:fldCharType="separate"/>
      </w:r>
      <w:r>
        <w:t>5</w:t>
      </w:r>
      <w:r>
        <w:fldChar w:fldCharType="end"/>
      </w:r>
    </w:p>
    <w:p w14:paraId="3660D98B" w14:textId="08482757" w:rsidR="005C4555" w:rsidRDefault="005C4555">
      <w:pPr>
        <w:pStyle w:val="TOC2"/>
        <w:rPr>
          <w:rFonts w:asciiTheme="minorHAnsi" w:eastAsiaTheme="minorEastAsia" w:hAnsiTheme="minorHAnsi" w:cstheme="minorBidi"/>
          <w:bCs w:val="0"/>
          <w:snapToGrid/>
          <w:color w:val="auto"/>
          <w:kern w:val="2"/>
          <w14:ligatures w14:val="standardContextual"/>
        </w:rPr>
      </w:pPr>
      <w:r>
        <w:t>Disclosable Pecuniary Interests</w:t>
      </w:r>
      <w:r>
        <w:tab/>
      </w:r>
      <w:r>
        <w:fldChar w:fldCharType="begin"/>
      </w:r>
      <w:r>
        <w:instrText xml:space="preserve"> PAGEREF _Toc231316491 \h </w:instrText>
      </w:r>
      <w:r>
        <w:fldChar w:fldCharType="separate"/>
      </w:r>
      <w:r>
        <w:t>5</w:t>
      </w:r>
      <w:r>
        <w:fldChar w:fldCharType="end"/>
      </w:r>
    </w:p>
    <w:p w14:paraId="3C867E64" w14:textId="23342773" w:rsidR="005C4555" w:rsidRDefault="005C4555">
      <w:pPr>
        <w:pStyle w:val="TOC1"/>
        <w:rPr>
          <w:rFonts w:asciiTheme="minorHAnsi" w:eastAsiaTheme="minorEastAsia" w:hAnsiTheme="minorHAnsi" w:cstheme="minorBidi"/>
          <w:bCs w:val="0"/>
          <w:snapToGrid/>
          <w:color w:val="auto"/>
          <w:kern w:val="2"/>
          <w14:ligatures w14:val="standardContextual"/>
        </w:rPr>
      </w:pPr>
      <w:r>
        <w:t>5</w:t>
      </w:r>
      <w:r>
        <w:rPr>
          <w:rFonts w:asciiTheme="minorHAnsi" w:eastAsiaTheme="minorEastAsia" w:hAnsiTheme="minorHAnsi" w:cstheme="minorBidi"/>
          <w:bCs w:val="0"/>
          <w:snapToGrid/>
          <w:color w:val="auto"/>
          <w:kern w:val="2"/>
          <w14:ligatures w14:val="standardContextual"/>
        </w:rPr>
        <w:tab/>
      </w:r>
      <w:r>
        <w:t>Bias: Predetermination And Predisposition</w:t>
      </w:r>
      <w:r>
        <w:tab/>
      </w:r>
      <w:r>
        <w:fldChar w:fldCharType="begin"/>
      </w:r>
      <w:r>
        <w:instrText xml:space="preserve"> PAGEREF _Toc231316492 \h </w:instrText>
      </w:r>
      <w:r>
        <w:fldChar w:fldCharType="separate"/>
      </w:r>
      <w:r>
        <w:t>5</w:t>
      </w:r>
      <w:r>
        <w:fldChar w:fldCharType="end"/>
      </w:r>
    </w:p>
    <w:p w14:paraId="0EAB9474" w14:textId="28866F3D" w:rsidR="005C4555" w:rsidRDefault="005C4555">
      <w:pPr>
        <w:pStyle w:val="TOC2"/>
        <w:rPr>
          <w:rFonts w:asciiTheme="minorHAnsi" w:eastAsiaTheme="minorEastAsia" w:hAnsiTheme="minorHAnsi" w:cstheme="minorBidi"/>
          <w:bCs w:val="0"/>
          <w:snapToGrid/>
          <w:color w:val="auto"/>
          <w:kern w:val="2"/>
          <w14:ligatures w14:val="standardContextual"/>
        </w:rPr>
      </w:pPr>
      <w:r>
        <w:t>Dealing With Lobbying</w:t>
      </w:r>
      <w:r>
        <w:tab/>
      </w:r>
      <w:r>
        <w:fldChar w:fldCharType="begin"/>
      </w:r>
      <w:r>
        <w:instrText xml:space="preserve"> PAGEREF _Toc231316493 \h </w:instrText>
      </w:r>
      <w:r>
        <w:fldChar w:fldCharType="separate"/>
      </w:r>
      <w:r>
        <w:t>7</w:t>
      </w:r>
      <w:r>
        <w:fldChar w:fldCharType="end"/>
      </w:r>
    </w:p>
    <w:p w14:paraId="676ADC9D" w14:textId="14E2C558" w:rsidR="005C4555" w:rsidRDefault="005C4555">
      <w:pPr>
        <w:pStyle w:val="TOC1"/>
        <w:rPr>
          <w:rFonts w:asciiTheme="minorHAnsi" w:eastAsiaTheme="minorEastAsia" w:hAnsiTheme="minorHAnsi" w:cstheme="minorBidi"/>
          <w:bCs w:val="0"/>
          <w:snapToGrid/>
          <w:color w:val="auto"/>
          <w:kern w:val="2"/>
          <w14:ligatures w14:val="standardContextual"/>
        </w:rPr>
      </w:pPr>
      <w:r>
        <w:t>6</w:t>
      </w:r>
      <w:r>
        <w:rPr>
          <w:rFonts w:asciiTheme="minorHAnsi" w:eastAsiaTheme="minorEastAsia" w:hAnsiTheme="minorHAnsi" w:cstheme="minorBidi"/>
          <w:bCs w:val="0"/>
          <w:snapToGrid/>
          <w:color w:val="auto"/>
          <w:kern w:val="2"/>
          <w14:ligatures w14:val="standardContextual"/>
        </w:rPr>
        <w:tab/>
      </w:r>
      <w:r>
        <w:t>Applications Submitted By The Council, Councillors Or Officers</w:t>
      </w:r>
      <w:r>
        <w:tab/>
      </w:r>
      <w:r>
        <w:fldChar w:fldCharType="begin"/>
      </w:r>
      <w:r>
        <w:instrText xml:space="preserve"> PAGEREF _Toc231316494 \h </w:instrText>
      </w:r>
      <w:r>
        <w:fldChar w:fldCharType="separate"/>
      </w:r>
      <w:r>
        <w:t>7</w:t>
      </w:r>
      <w:r>
        <w:fldChar w:fldCharType="end"/>
      </w:r>
    </w:p>
    <w:p w14:paraId="099E4EE7" w14:textId="185323FA" w:rsidR="005C4555" w:rsidRDefault="005C4555">
      <w:pPr>
        <w:pStyle w:val="TOC2"/>
        <w:rPr>
          <w:rFonts w:asciiTheme="minorHAnsi" w:eastAsiaTheme="minorEastAsia" w:hAnsiTheme="minorHAnsi" w:cstheme="minorBidi"/>
          <w:bCs w:val="0"/>
          <w:snapToGrid/>
          <w:color w:val="auto"/>
          <w:kern w:val="2"/>
          <w14:ligatures w14:val="standardContextual"/>
        </w:rPr>
      </w:pPr>
      <w:r>
        <w:t>Applications Submitted By The Council</w:t>
      </w:r>
      <w:r>
        <w:tab/>
      </w:r>
      <w:r>
        <w:fldChar w:fldCharType="begin"/>
      </w:r>
      <w:r>
        <w:instrText xml:space="preserve"> PAGEREF _Toc231316495 \h </w:instrText>
      </w:r>
      <w:r>
        <w:fldChar w:fldCharType="separate"/>
      </w:r>
      <w:r>
        <w:t>7</w:t>
      </w:r>
      <w:r>
        <w:fldChar w:fldCharType="end"/>
      </w:r>
    </w:p>
    <w:p w14:paraId="19459B8F" w14:textId="0620CCFC" w:rsidR="005C4555" w:rsidRDefault="005C4555">
      <w:pPr>
        <w:pStyle w:val="TOC2"/>
        <w:rPr>
          <w:rFonts w:asciiTheme="minorHAnsi" w:eastAsiaTheme="minorEastAsia" w:hAnsiTheme="minorHAnsi" w:cstheme="minorBidi"/>
          <w:bCs w:val="0"/>
          <w:snapToGrid/>
          <w:color w:val="auto"/>
          <w:kern w:val="2"/>
          <w14:ligatures w14:val="standardContextual"/>
        </w:rPr>
      </w:pPr>
      <w:r>
        <w:t>Applications Submitted By Councillors Or Officers</w:t>
      </w:r>
      <w:r>
        <w:tab/>
      </w:r>
      <w:r>
        <w:fldChar w:fldCharType="begin"/>
      </w:r>
      <w:r>
        <w:instrText xml:space="preserve"> PAGEREF _Toc231316496 \h </w:instrText>
      </w:r>
      <w:r>
        <w:fldChar w:fldCharType="separate"/>
      </w:r>
      <w:r>
        <w:t>8</w:t>
      </w:r>
      <w:r>
        <w:fldChar w:fldCharType="end"/>
      </w:r>
    </w:p>
    <w:p w14:paraId="1E6D73CD" w14:textId="3204DA66" w:rsidR="005C4555" w:rsidRDefault="005C4555">
      <w:pPr>
        <w:pStyle w:val="TOC1"/>
        <w:rPr>
          <w:rFonts w:asciiTheme="minorHAnsi" w:eastAsiaTheme="minorEastAsia" w:hAnsiTheme="minorHAnsi" w:cstheme="minorBidi"/>
          <w:bCs w:val="0"/>
          <w:snapToGrid/>
          <w:color w:val="auto"/>
          <w:kern w:val="2"/>
          <w14:ligatures w14:val="standardContextual"/>
        </w:rPr>
      </w:pPr>
      <w:r>
        <w:t>7</w:t>
      </w:r>
      <w:r>
        <w:rPr>
          <w:rFonts w:asciiTheme="minorHAnsi" w:eastAsiaTheme="minorEastAsia" w:hAnsiTheme="minorHAnsi" w:cstheme="minorBidi"/>
          <w:bCs w:val="0"/>
          <w:snapToGrid/>
          <w:color w:val="auto"/>
          <w:kern w:val="2"/>
          <w14:ligatures w14:val="standardContextual"/>
        </w:rPr>
        <w:tab/>
      </w:r>
      <w:r>
        <w:t>Lobbying Of And By Councillors</w:t>
      </w:r>
      <w:r>
        <w:tab/>
      </w:r>
      <w:r>
        <w:fldChar w:fldCharType="begin"/>
      </w:r>
      <w:r>
        <w:instrText xml:space="preserve"> PAGEREF _Toc231316497 \h </w:instrText>
      </w:r>
      <w:r>
        <w:fldChar w:fldCharType="separate"/>
      </w:r>
      <w:r>
        <w:t>8</w:t>
      </w:r>
      <w:r>
        <w:fldChar w:fldCharType="end"/>
      </w:r>
    </w:p>
    <w:p w14:paraId="68003173" w14:textId="21740F88" w:rsidR="005C4555" w:rsidRDefault="005C4555">
      <w:pPr>
        <w:pStyle w:val="TOC2"/>
        <w:rPr>
          <w:rFonts w:asciiTheme="minorHAnsi" w:eastAsiaTheme="minorEastAsia" w:hAnsiTheme="minorHAnsi" w:cstheme="minorBidi"/>
          <w:bCs w:val="0"/>
          <w:snapToGrid/>
          <w:color w:val="auto"/>
          <w:kern w:val="2"/>
          <w14:ligatures w14:val="standardContextual"/>
        </w:rPr>
      </w:pPr>
      <w:r>
        <w:t>Lobbying Of Councillors</w:t>
      </w:r>
      <w:r>
        <w:tab/>
      </w:r>
      <w:r>
        <w:fldChar w:fldCharType="begin"/>
      </w:r>
      <w:r>
        <w:instrText xml:space="preserve"> PAGEREF _Toc231316498 \h </w:instrText>
      </w:r>
      <w:r>
        <w:fldChar w:fldCharType="separate"/>
      </w:r>
      <w:r>
        <w:t>9</w:t>
      </w:r>
      <w:r>
        <w:fldChar w:fldCharType="end"/>
      </w:r>
    </w:p>
    <w:p w14:paraId="6A75E889" w14:textId="0471AE5D" w:rsidR="005C4555" w:rsidRDefault="005C4555">
      <w:pPr>
        <w:pStyle w:val="TOC2"/>
        <w:rPr>
          <w:rFonts w:asciiTheme="minorHAnsi" w:eastAsiaTheme="minorEastAsia" w:hAnsiTheme="minorHAnsi" w:cstheme="minorBidi"/>
          <w:bCs w:val="0"/>
          <w:snapToGrid/>
          <w:color w:val="auto"/>
          <w:kern w:val="2"/>
          <w14:ligatures w14:val="standardContextual"/>
        </w:rPr>
      </w:pPr>
      <w:r>
        <w:t>Lobbying By Councillors</w:t>
      </w:r>
      <w:r>
        <w:tab/>
      </w:r>
      <w:r>
        <w:fldChar w:fldCharType="begin"/>
      </w:r>
      <w:r>
        <w:instrText xml:space="preserve"> PAGEREF _Toc231316499 \h </w:instrText>
      </w:r>
      <w:r>
        <w:fldChar w:fldCharType="separate"/>
      </w:r>
      <w:r>
        <w:t>10</w:t>
      </w:r>
      <w:r>
        <w:fldChar w:fldCharType="end"/>
      </w:r>
    </w:p>
    <w:p w14:paraId="4866AEDA" w14:textId="22D0867B" w:rsidR="005C4555" w:rsidRDefault="005C4555">
      <w:pPr>
        <w:pStyle w:val="TOC1"/>
        <w:rPr>
          <w:rFonts w:asciiTheme="minorHAnsi" w:eastAsiaTheme="minorEastAsia" w:hAnsiTheme="minorHAnsi" w:cstheme="minorBidi"/>
          <w:bCs w:val="0"/>
          <w:snapToGrid/>
          <w:color w:val="auto"/>
          <w:kern w:val="2"/>
          <w14:ligatures w14:val="standardContextual"/>
        </w:rPr>
      </w:pPr>
      <w:r>
        <w:t>8</w:t>
      </w:r>
      <w:r>
        <w:rPr>
          <w:rFonts w:asciiTheme="minorHAnsi" w:eastAsiaTheme="minorEastAsia" w:hAnsiTheme="minorHAnsi" w:cstheme="minorBidi"/>
          <w:bCs w:val="0"/>
          <w:snapToGrid/>
          <w:color w:val="auto"/>
          <w:kern w:val="2"/>
          <w14:ligatures w14:val="standardContextual"/>
        </w:rPr>
        <w:tab/>
      </w:r>
      <w:r>
        <w:t>Pre-Application Discussions</w:t>
      </w:r>
      <w:r>
        <w:tab/>
      </w:r>
      <w:r>
        <w:fldChar w:fldCharType="begin"/>
      </w:r>
      <w:r>
        <w:instrText xml:space="preserve"> PAGEREF _Toc231316500 \h </w:instrText>
      </w:r>
      <w:r>
        <w:fldChar w:fldCharType="separate"/>
      </w:r>
      <w:r>
        <w:t>11</w:t>
      </w:r>
      <w:r>
        <w:fldChar w:fldCharType="end"/>
      </w:r>
    </w:p>
    <w:p w14:paraId="264ECE4B" w14:textId="5BCCD040" w:rsidR="005C4555" w:rsidRDefault="005C4555">
      <w:pPr>
        <w:pStyle w:val="TOC1"/>
        <w:rPr>
          <w:rFonts w:asciiTheme="minorHAnsi" w:eastAsiaTheme="minorEastAsia" w:hAnsiTheme="minorHAnsi" w:cstheme="minorBidi"/>
          <w:bCs w:val="0"/>
          <w:snapToGrid/>
          <w:color w:val="auto"/>
          <w:kern w:val="2"/>
          <w14:ligatures w14:val="standardContextual"/>
        </w:rPr>
      </w:pPr>
      <w:r>
        <w:t>9</w:t>
      </w:r>
      <w:r>
        <w:rPr>
          <w:rFonts w:asciiTheme="minorHAnsi" w:eastAsiaTheme="minorEastAsia" w:hAnsiTheme="minorHAnsi" w:cstheme="minorBidi"/>
          <w:bCs w:val="0"/>
          <w:snapToGrid/>
          <w:color w:val="auto"/>
          <w:kern w:val="2"/>
          <w14:ligatures w14:val="standardContextual"/>
        </w:rPr>
        <w:tab/>
      </w:r>
      <w:r>
        <w:t>Post-Submission Discussions</w:t>
      </w:r>
      <w:r>
        <w:tab/>
      </w:r>
      <w:r>
        <w:fldChar w:fldCharType="begin"/>
      </w:r>
      <w:r>
        <w:instrText xml:space="preserve"> PAGEREF _Toc231316501 \h </w:instrText>
      </w:r>
      <w:r>
        <w:fldChar w:fldCharType="separate"/>
      </w:r>
      <w:r>
        <w:t>12</w:t>
      </w:r>
      <w:r>
        <w:fldChar w:fldCharType="end"/>
      </w:r>
    </w:p>
    <w:p w14:paraId="384CD8B5" w14:textId="3F9EE990" w:rsidR="005C4555" w:rsidRDefault="005C4555">
      <w:pPr>
        <w:pStyle w:val="TOC1"/>
        <w:rPr>
          <w:rFonts w:asciiTheme="minorHAnsi" w:eastAsiaTheme="minorEastAsia" w:hAnsiTheme="minorHAnsi" w:cstheme="minorBidi"/>
          <w:bCs w:val="0"/>
          <w:snapToGrid/>
          <w:color w:val="auto"/>
          <w:kern w:val="2"/>
          <w14:ligatures w14:val="standardContextual"/>
        </w:rPr>
      </w:pPr>
      <w:r>
        <w:t>10</w:t>
      </w:r>
      <w:r>
        <w:rPr>
          <w:rFonts w:asciiTheme="minorHAnsi" w:eastAsiaTheme="minorEastAsia" w:hAnsiTheme="minorHAnsi" w:cstheme="minorBidi"/>
          <w:bCs w:val="0"/>
          <w:snapToGrid/>
          <w:color w:val="auto"/>
          <w:kern w:val="2"/>
          <w14:ligatures w14:val="standardContextual"/>
        </w:rPr>
        <w:tab/>
      </w:r>
      <w:r>
        <w:t>Planning Appeals</w:t>
      </w:r>
      <w:r>
        <w:tab/>
      </w:r>
      <w:r>
        <w:fldChar w:fldCharType="begin"/>
      </w:r>
      <w:r>
        <w:instrText xml:space="preserve"> PAGEREF _Toc231316502 \h </w:instrText>
      </w:r>
      <w:r>
        <w:fldChar w:fldCharType="separate"/>
      </w:r>
      <w:r>
        <w:t>12</w:t>
      </w:r>
      <w:r>
        <w:fldChar w:fldCharType="end"/>
      </w:r>
    </w:p>
    <w:p w14:paraId="772259D6" w14:textId="30258BAB" w:rsidR="005C4555" w:rsidRDefault="005C4555">
      <w:pPr>
        <w:pStyle w:val="TOC1"/>
        <w:rPr>
          <w:rFonts w:asciiTheme="minorHAnsi" w:eastAsiaTheme="minorEastAsia" w:hAnsiTheme="minorHAnsi" w:cstheme="minorBidi"/>
          <w:bCs w:val="0"/>
          <w:snapToGrid/>
          <w:color w:val="auto"/>
          <w:kern w:val="2"/>
          <w14:ligatures w14:val="standardContextual"/>
        </w:rPr>
      </w:pPr>
      <w:r>
        <w:t>11</w:t>
      </w:r>
      <w:r>
        <w:rPr>
          <w:rFonts w:asciiTheme="minorHAnsi" w:eastAsiaTheme="minorEastAsia" w:hAnsiTheme="minorHAnsi" w:cstheme="minorBidi"/>
          <w:bCs w:val="0"/>
          <w:snapToGrid/>
          <w:color w:val="auto"/>
          <w:kern w:val="2"/>
          <w14:ligatures w14:val="standardContextual"/>
        </w:rPr>
        <w:tab/>
      </w:r>
      <w:r>
        <w:t>Planning Enforcement</w:t>
      </w:r>
      <w:r>
        <w:tab/>
      </w:r>
      <w:r>
        <w:fldChar w:fldCharType="begin"/>
      </w:r>
      <w:r>
        <w:instrText xml:space="preserve"> PAGEREF _Toc231316503 \h </w:instrText>
      </w:r>
      <w:r>
        <w:fldChar w:fldCharType="separate"/>
      </w:r>
      <w:r>
        <w:t>13</w:t>
      </w:r>
      <w:r>
        <w:fldChar w:fldCharType="end"/>
      </w:r>
    </w:p>
    <w:p w14:paraId="7BDD6EE2" w14:textId="66749B78" w:rsidR="005C4555" w:rsidRDefault="005C4555">
      <w:pPr>
        <w:pStyle w:val="TOC1"/>
        <w:rPr>
          <w:rFonts w:asciiTheme="minorHAnsi" w:eastAsiaTheme="minorEastAsia" w:hAnsiTheme="minorHAnsi" w:cstheme="minorBidi"/>
          <w:bCs w:val="0"/>
          <w:snapToGrid/>
          <w:color w:val="auto"/>
          <w:kern w:val="2"/>
          <w14:ligatures w14:val="standardContextual"/>
        </w:rPr>
      </w:pPr>
      <w:r>
        <w:t>12</w:t>
      </w:r>
      <w:r>
        <w:rPr>
          <w:rFonts w:asciiTheme="minorHAnsi" w:eastAsiaTheme="minorEastAsia" w:hAnsiTheme="minorHAnsi" w:cstheme="minorBidi"/>
          <w:bCs w:val="0"/>
          <w:snapToGrid/>
          <w:color w:val="auto"/>
          <w:kern w:val="2"/>
          <w14:ligatures w14:val="standardContextual"/>
        </w:rPr>
        <w:tab/>
      </w:r>
      <w:r>
        <w:t>Councillor Training</w:t>
      </w:r>
      <w:r>
        <w:tab/>
      </w:r>
      <w:r>
        <w:fldChar w:fldCharType="begin"/>
      </w:r>
      <w:r>
        <w:instrText xml:space="preserve"> PAGEREF _Toc231316504 \h </w:instrText>
      </w:r>
      <w:r>
        <w:fldChar w:fldCharType="separate"/>
      </w:r>
      <w:r>
        <w:t>13</w:t>
      </w:r>
      <w:r>
        <w:fldChar w:fldCharType="end"/>
      </w:r>
    </w:p>
    <w:p w14:paraId="1AACFC77" w14:textId="78F3D5F3" w:rsidR="00AC39FE" w:rsidRPr="00D10CC9" w:rsidRDefault="00306BEA" w:rsidP="00AC39FE">
      <w:r>
        <w:fldChar w:fldCharType="end"/>
      </w:r>
    </w:p>
    <w:p w14:paraId="2AE56310" w14:textId="77777777" w:rsidR="004C7461" w:rsidRDefault="00306BEA" w:rsidP="003E523D">
      <w:pPr>
        <w:pStyle w:val="TOC1"/>
        <w:ind w:left="0" w:firstLine="0"/>
      </w:pPr>
      <w:r>
        <w:br w:type="page"/>
      </w:r>
    </w:p>
    <w:p w14:paraId="16CDE536" w14:textId="77777777" w:rsidR="00BC658F" w:rsidRPr="00FA56F4" w:rsidRDefault="00BC658F" w:rsidP="00BC658F">
      <w:pPr>
        <w:pStyle w:val="BodyText"/>
        <w:numPr>
          <w:ilvl w:val="0"/>
          <w:numId w:val="0"/>
        </w:numPr>
        <w:rPr>
          <w:sz w:val="20"/>
        </w:rPr>
      </w:pPr>
      <w:r>
        <w:lastRenderedPageBreak/>
        <w:t>Before implementing the template, [</w:t>
      </w:r>
      <w:r w:rsidRPr="001569DB">
        <w:rPr>
          <w:highlight w:val="lightGray"/>
        </w:rPr>
        <w:t>Highlighted text</w:t>
      </w:r>
      <w:r>
        <w:t>] should be customised by the LPA.</w:t>
      </w:r>
    </w:p>
    <w:p w14:paraId="59DE3C4F" w14:textId="0A7183C3" w:rsidR="000E24E0" w:rsidRPr="00472560" w:rsidRDefault="00706090" w:rsidP="00472560">
      <w:pPr>
        <w:pStyle w:val="TOCTITLE"/>
        <w:rPr>
          <w:sz w:val="40"/>
          <w:szCs w:val="32"/>
        </w:rPr>
      </w:pPr>
      <w:r w:rsidRPr="00472560">
        <w:rPr>
          <w:sz w:val="40"/>
          <w:szCs w:val="32"/>
        </w:rPr>
        <w:t>Planning Code Of Conduct</w:t>
      </w:r>
    </w:p>
    <w:p w14:paraId="66F0485E" w14:textId="77777777" w:rsidR="00DA3EA2" w:rsidRDefault="000E24E0" w:rsidP="00D00A8B">
      <w:pPr>
        <w:pStyle w:val="BodyText"/>
        <w:numPr>
          <w:ilvl w:val="0"/>
          <w:numId w:val="0"/>
        </w:numPr>
      </w:pPr>
      <w:r w:rsidRPr="00A64052">
        <w:t xml:space="preserve">This Code has been prepared using advice in the Local Government Association/Planning Advisory Service revised guidance note – Probity in Planning: Advice for councillors and officers making planning decisions (December 2019). </w:t>
      </w:r>
    </w:p>
    <w:p w14:paraId="669B5DC4" w14:textId="3560F20F" w:rsidR="00DA3EA2" w:rsidRPr="00E614C8" w:rsidRDefault="000E24E0" w:rsidP="00E614C8">
      <w:pPr>
        <w:pStyle w:val="Heading1"/>
        <w:numPr>
          <w:ilvl w:val="0"/>
          <w:numId w:val="14"/>
        </w:numPr>
      </w:pPr>
      <w:bookmarkStart w:id="0" w:name="_Toc231316480"/>
      <w:r w:rsidRPr="00E614C8">
        <w:t xml:space="preserve">Key Purpose </w:t>
      </w:r>
      <w:r w:rsidR="00706090" w:rsidRPr="00E614C8">
        <w:t xml:space="preserve">Of </w:t>
      </w:r>
      <w:r w:rsidRPr="00E614C8">
        <w:t>Planning</w:t>
      </w:r>
      <w:bookmarkEnd w:id="0"/>
    </w:p>
    <w:p w14:paraId="1F14854C" w14:textId="77777777" w:rsidR="00DA3EA2" w:rsidRDefault="000E24E0" w:rsidP="000E24E0">
      <w:pPr>
        <w:pStyle w:val="BodyText"/>
      </w:pPr>
      <w:r w:rsidRPr="00A64052">
        <w:t>Planning has a positive and proactive role to play at the heart of local government. Its purpose is to translate goals into actions. It balances social, economic and environmental needs to achieve sustainable development. It can deliver important public benefits such as new housing, infrastructure and local employment opportunities.</w:t>
      </w:r>
    </w:p>
    <w:p w14:paraId="615B9616" w14:textId="23298931" w:rsidR="00DA3EA2" w:rsidRPr="000F1AAE" w:rsidRDefault="000E24E0" w:rsidP="000F1AAE">
      <w:pPr>
        <w:pStyle w:val="BodyText"/>
      </w:pPr>
      <w:r w:rsidRPr="000F1AAE">
        <w:t xml:space="preserve">The system works best when Councillors and officers involved in planning understand </w:t>
      </w:r>
      <w:r w:rsidR="000819CB" w:rsidRPr="000F1AAE">
        <w:t xml:space="preserve">and respect </w:t>
      </w:r>
      <w:r w:rsidRPr="000F1AAE">
        <w:t xml:space="preserve">their roles and responsibilities and the context and constraints </w:t>
      </w:r>
      <w:r w:rsidR="000819CB" w:rsidRPr="000F1AAE">
        <w:t>with</w:t>
      </w:r>
      <w:r w:rsidRPr="000F1AAE">
        <w:t xml:space="preserve">in which they operate. </w:t>
      </w:r>
    </w:p>
    <w:p w14:paraId="64A6BB95" w14:textId="71B6E3E6" w:rsidR="00DA3EA2" w:rsidRDefault="000E24E0" w:rsidP="000E24E0">
      <w:pPr>
        <w:pStyle w:val="BodyText"/>
      </w:pPr>
      <w:r w:rsidRPr="00A64052">
        <w:t xml:space="preserve">Planning decisions are based on balancing competing interests and making an informed judgement against a local, regional and national policy framework. In doing this, decision-makers need an ethos of </w:t>
      </w:r>
      <w:r w:rsidR="00ED6792">
        <w:t>working</w:t>
      </w:r>
      <w:r w:rsidRPr="00A64052">
        <w:t xml:space="preserve"> in the wider public interest on what can be controversial proposals. </w:t>
      </w:r>
    </w:p>
    <w:p w14:paraId="2C0D5C10" w14:textId="43896F6D" w:rsidR="00DA3EA2" w:rsidRPr="00DA3EA2" w:rsidRDefault="000E24E0" w:rsidP="00E614C8">
      <w:pPr>
        <w:pStyle w:val="Heading1"/>
        <w:numPr>
          <w:ilvl w:val="0"/>
          <w:numId w:val="14"/>
        </w:numPr>
      </w:pPr>
      <w:bookmarkStart w:id="1" w:name="_Toc231316481"/>
      <w:r w:rsidRPr="00DA3EA2">
        <w:t xml:space="preserve">Aim </w:t>
      </w:r>
      <w:r w:rsidR="00706090" w:rsidRPr="00DA3EA2">
        <w:t xml:space="preserve">Of The </w:t>
      </w:r>
      <w:r w:rsidRPr="00DA3EA2">
        <w:t>Code</w:t>
      </w:r>
      <w:bookmarkEnd w:id="1"/>
    </w:p>
    <w:p w14:paraId="425502A0" w14:textId="551B8250" w:rsidR="00A62992" w:rsidRPr="002E195F" w:rsidRDefault="00A62992" w:rsidP="00A62992">
      <w:pPr>
        <w:pStyle w:val="BodyText"/>
      </w:pPr>
      <w:r w:rsidRPr="002E195F">
        <w:t xml:space="preserve">In today’s place-shaping context, early Councillor engagement is encouraged to ensure that </w:t>
      </w:r>
      <w:r w:rsidR="00F50EB6">
        <w:t xml:space="preserve">strategic </w:t>
      </w:r>
      <w:r w:rsidRPr="002E195F">
        <w:t>proposals for sustainable development can be harnessed to produce the places that communities need. Th</w:t>
      </w:r>
      <w:r>
        <w:t>is</w:t>
      </w:r>
      <w:r w:rsidRPr="002E195F">
        <w:t xml:space="preserve"> Code is intended to reinforce Councillors’ community engagement role whilst maintaining good standards of probity that minimises the risk of legal challenge. </w:t>
      </w:r>
    </w:p>
    <w:p w14:paraId="525289EB" w14:textId="77777777" w:rsidR="00A62992" w:rsidRPr="002E195F" w:rsidRDefault="00A62992" w:rsidP="00A62992">
      <w:pPr>
        <w:pStyle w:val="BodyText"/>
      </w:pPr>
      <w:r w:rsidRPr="002E195F">
        <w:t xml:space="preserve">Planning decisions can be controversial. The risk of argument and conflict are heightened by the openness of a system which invites public opinion before taking decisions and the legal nature of the development plan and planning decisions. Nevertheless, it is important that the decision-making process is open and transparent. </w:t>
      </w:r>
    </w:p>
    <w:p w14:paraId="4381D563" w14:textId="5D79CBE7" w:rsidR="00A62992" w:rsidRPr="002E195F" w:rsidRDefault="00A62992" w:rsidP="00A62992">
      <w:pPr>
        <w:pStyle w:val="BodyText"/>
      </w:pPr>
      <w:r w:rsidRPr="002E195F">
        <w:t xml:space="preserve">One of the key aims of the planning system is to balance private interests in the development of land against the wider public interest. In performing this role, planning necessarily affects land and property interests, particularly the financial value of landholdings and the quality of their settings. Opposing views are often strongly held by those involved. Whilst Councillors </w:t>
      </w:r>
      <w:r w:rsidR="0033088F">
        <w:t xml:space="preserve">and officers </w:t>
      </w:r>
      <w:r w:rsidRPr="002E195F">
        <w:t>must take account of these views, they should not favour any person, company, group or locality, nor put themselves in a position where they may appear to be doing so. It is important, therefore, that Council</w:t>
      </w:r>
      <w:r>
        <w:t>s</w:t>
      </w:r>
      <w:r w:rsidRPr="002E195F">
        <w:t xml:space="preserve"> make planning decisions affecting these interests openly, impartially, with sound judgement and for justifiable reasons. </w:t>
      </w:r>
    </w:p>
    <w:p w14:paraId="66E408B6" w14:textId="40CB54EA" w:rsidR="00A62992" w:rsidRPr="002E195F" w:rsidRDefault="00A62992" w:rsidP="00A62992">
      <w:pPr>
        <w:pStyle w:val="BodyText"/>
      </w:pPr>
      <w:r w:rsidRPr="002E195F">
        <w:t xml:space="preserve">The process should leave no grounds for suggesting that those participating in </w:t>
      </w:r>
      <w:r w:rsidR="00884B2E">
        <w:t>a planning</w:t>
      </w:r>
      <w:r w:rsidRPr="002E195F">
        <w:t xml:space="preserve"> decision were biased or that the decision itself was unlawful, irrational or procedurally flawed. </w:t>
      </w:r>
    </w:p>
    <w:p w14:paraId="220AD4CA" w14:textId="65B7B198" w:rsidR="00DA3EA2" w:rsidRPr="00DA3EA2" w:rsidRDefault="000E24E0" w:rsidP="00DA3EA2">
      <w:pPr>
        <w:pStyle w:val="Heading2"/>
      </w:pPr>
      <w:bookmarkStart w:id="2" w:name="_Toc231316482"/>
      <w:r w:rsidRPr="00DA3EA2">
        <w:lastRenderedPageBreak/>
        <w:t xml:space="preserve">When </w:t>
      </w:r>
      <w:r w:rsidR="00706090" w:rsidRPr="00DA3EA2">
        <w:t xml:space="preserve">The </w:t>
      </w:r>
      <w:r w:rsidRPr="00DA3EA2">
        <w:t xml:space="preserve">Code </w:t>
      </w:r>
      <w:r w:rsidR="00706090">
        <w:t>A</w:t>
      </w:r>
      <w:r w:rsidR="00706090" w:rsidRPr="00DA3EA2">
        <w:t>pplies</w:t>
      </w:r>
      <w:bookmarkEnd w:id="2"/>
    </w:p>
    <w:p w14:paraId="09B0EDBA" w14:textId="77777777" w:rsidR="00DA3EA2" w:rsidRDefault="000E24E0" w:rsidP="000E24E0">
      <w:pPr>
        <w:pStyle w:val="BodyText"/>
      </w:pPr>
      <w:r w:rsidRPr="00A64052">
        <w:t xml:space="preserve">This Code applies to Councillors and Officers when they are involved in the planning process. This includes, where applicable, when part of decision-making meetings of the Council, in exercising the functions of the planning authority or when involved on less formal occasions, such as meetings with officers or consultative meetings. It applies as equally to planning enforcement matters or site-specific policy issues as it does to planning applications. If a Councillor has any doubts about the application of this Code to their own circumstances they should seek advice early from the Monitoring Officer, and preferably well before any meeting takes place. </w:t>
      </w:r>
    </w:p>
    <w:p w14:paraId="09733A63" w14:textId="0A1234C9" w:rsidR="00DA3EA2" w:rsidRDefault="000E24E0" w:rsidP="000E24E0">
      <w:pPr>
        <w:pStyle w:val="BodyText"/>
      </w:pPr>
      <w:r w:rsidRPr="00A64052">
        <w:t xml:space="preserve">This Code applies to all meetings of the Council’s </w:t>
      </w:r>
      <w:r w:rsidR="009542D1">
        <w:t>[</w:t>
      </w:r>
      <w:r w:rsidR="009542D1" w:rsidRPr="00CA765C">
        <w:rPr>
          <w:highlight w:val="lightGray"/>
        </w:rPr>
        <w:t>Planning Committee</w:t>
      </w:r>
      <w:r w:rsidR="009542D1">
        <w:t>]</w:t>
      </w:r>
      <w:r w:rsidRPr="00A64052">
        <w:t xml:space="preserve">. When the term “Councillor” is used, it means that the text is applicable to all </w:t>
      </w:r>
      <w:r>
        <w:t>m</w:t>
      </w:r>
      <w:r w:rsidRPr="00A64052">
        <w:t>embers of the Council. The term “</w:t>
      </w:r>
      <w:r w:rsidR="009542D1">
        <w:t>[</w:t>
      </w:r>
      <w:r w:rsidR="009542D1" w:rsidRPr="00CA765C">
        <w:rPr>
          <w:highlight w:val="lightGray"/>
        </w:rPr>
        <w:t>Planning Committee</w:t>
      </w:r>
      <w:r w:rsidR="009542D1">
        <w:t>]</w:t>
      </w:r>
      <w:r w:rsidRPr="00A64052">
        <w:t xml:space="preserve"> Councillor” means a member or a substitute member of the Council’s </w:t>
      </w:r>
      <w:r w:rsidR="009542D1">
        <w:t>[</w:t>
      </w:r>
      <w:r w:rsidR="009542D1" w:rsidRPr="00CA765C">
        <w:rPr>
          <w:highlight w:val="lightGray"/>
        </w:rPr>
        <w:t>Planning Committee</w:t>
      </w:r>
      <w:r w:rsidR="009542D1">
        <w:t>]</w:t>
      </w:r>
      <w:r w:rsidRPr="00A64052">
        <w:t xml:space="preserve">. </w:t>
      </w:r>
    </w:p>
    <w:p w14:paraId="45C1C3B5" w14:textId="1EB336CF" w:rsidR="00DA3EA2" w:rsidRPr="00DA3EA2" w:rsidRDefault="000E24E0" w:rsidP="00DA3EA2">
      <w:pPr>
        <w:pStyle w:val="Heading2"/>
      </w:pPr>
      <w:bookmarkStart w:id="3" w:name="_Toc231316483"/>
      <w:r w:rsidRPr="00DA3EA2">
        <w:t xml:space="preserve">Relationship </w:t>
      </w:r>
      <w:r w:rsidR="00706090" w:rsidRPr="00DA3EA2">
        <w:t xml:space="preserve">To </w:t>
      </w:r>
      <w:r w:rsidR="00706090">
        <w:t>T</w:t>
      </w:r>
      <w:r w:rsidR="00706090" w:rsidRPr="00DA3EA2">
        <w:t xml:space="preserve">he </w:t>
      </w:r>
      <w:r w:rsidRPr="00DA3EA2">
        <w:t xml:space="preserve">Members' Code </w:t>
      </w:r>
      <w:r w:rsidR="00706090" w:rsidRPr="00DA3EA2">
        <w:t xml:space="preserve">Of </w:t>
      </w:r>
      <w:r w:rsidRPr="00DA3EA2">
        <w:t>Conduct</w:t>
      </w:r>
      <w:bookmarkEnd w:id="3"/>
    </w:p>
    <w:p w14:paraId="58437DFD" w14:textId="1327DE34" w:rsidR="00DA3EA2" w:rsidRDefault="000E24E0" w:rsidP="000E24E0">
      <w:pPr>
        <w:pStyle w:val="BodyText"/>
      </w:pPr>
      <w:r w:rsidRPr="00A64052">
        <w:t xml:space="preserve">Councillors are reminded that this Code is designed primarily for </w:t>
      </w:r>
      <w:r w:rsidR="009542D1">
        <w:t>[</w:t>
      </w:r>
      <w:r w:rsidR="009542D1" w:rsidRPr="009729B6">
        <w:rPr>
          <w:highlight w:val="lightGray"/>
        </w:rPr>
        <w:t>Planning Committee</w:t>
      </w:r>
      <w:r w:rsidR="009542D1">
        <w:t>]</w:t>
      </w:r>
      <w:r w:rsidRPr="00A64052">
        <w:t xml:space="preserve"> Councillors and Councillors who, for whatever reason, find themselves involved in the planning process. It should not be read in isolation. Whilst this Code interprets the </w:t>
      </w:r>
      <w:r>
        <w:t xml:space="preserve">Code of Conduct for </w:t>
      </w:r>
      <w:r w:rsidRPr="000B1F5A">
        <w:t>Members (</w:t>
      </w:r>
      <w:r w:rsidR="000975D5" w:rsidRPr="000B1F5A">
        <w:t>[</w:t>
      </w:r>
      <w:r w:rsidR="00F65820" w:rsidRPr="009729B6">
        <w:rPr>
          <w:highlight w:val="lightGray"/>
        </w:rPr>
        <w:t xml:space="preserve">state </w:t>
      </w:r>
      <w:r w:rsidR="00293F14">
        <w:rPr>
          <w:highlight w:val="lightGray"/>
        </w:rPr>
        <w:t>its</w:t>
      </w:r>
      <w:r w:rsidR="00F65820" w:rsidRPr="009729B6">
        <w:rPr>
          <w:highlight w:val="lightGray"/>
        </w:rPr>
        <w:t xml:space="preserve"> location in the Constitution</w:t>
      </w:r>
      <w:r w:rsidR="000B1F5A" w:rsidRPr="000B1F5A">
        <w:t>]</w:t>
      </w:r>
      <w:r w:rsidRPr="000B1F5A">
        <w:t>) with respect to planning matters</w:t>
      </w:r>
      <w:r w:rsidRPr="00A64052">
        <w:t>, it is subordinate to th</w:t>
      </w:r>
      <w:r>
        <w:t>at</w:t>
      </w:r>
      <w:r w:rsidRPr="00A64052">
        <w:t xml:space="preserve"> </w:t>
      </w:r>
      <w:r>
        <w:t xml:space="preserve">Code </w:t>
      </w:r>
      <w:r w:rsidRPr="00A64052">
        <w:t xml:space="preserve">and in the event of any inconsistencies arising between this Code and the </w:t>
      </w:r>
      <w:r>
        <w:t>Code of Conduct for Members</w:t>
      </w:r>
      <w:r w:rsidRPr="00A64052">
        <w:t>, the latter shall prevail.</w:t>
      </w:r>
    </w:p>
    <w:p w14:paraId="66151D2A" w14:textId="2B142196" w:rsidR="00DA3EA2" w:rsidRPr="00DA3EA2" w:rsidRDefault="000E24E0" w:rsidP="00E614C8">
      <w:pPr>
        <w:pStyle w:val="Heading1"/>
        <w:numPr>
          <w:ilvl w:val="0"/>
          <w:numId w:val="14"/>
        </w:numPr>
      </w:pPr>
      <w:bookmarkStart w:id="4" w:name="_Toc231316484"/>
      <w:r w:rsidRPr="00DA3EA2">
        <w:t xml:space="preserve">Role </w:t>
      </w:r>
      <w:r w:rsidR="00706090" w:rsidRPr="00DA3EA2">
        <w:t xml:space="preserve">And </w:t>
      </w:r>
      <w:r w:rsidRPr="00DA3EA2">
        <w:t xml:space="preserve">Conduct </w:t>
      </w:r>
      <w:r w:rsidR="00706090" w:rsidRPr="00DA3EA2">
        <w:t xml:space="preserve">Of </w:t>
      </w:r>
      <w:r w:rsidRPr="00DA3EA2">
        <w:t xml:space="preserve">Councillors </w:t>
      </w:r>
      <w:r w:rsidR="00706090" w:rsidRPr="00DA3EA2">
        <w:t xml:space="preserve">And </w:t>
      </w:r>
      <w:r w:rsidRPr="00DA3EA2">
        <w:t>Officers</w:t>
      </w:r>
      <w:bookmarkEnd w:id="4"/>
      <w:r w:rsidRPr="00DA3EA2">
        <w:t xml:space="preserve"> </w:t>
      </w:r>
    </w:p>
    <w:p w14:paraId="4515EA44" w14:textId="77777777" w:rsidR="00F129F1" w:rsidRDefault="00F129F1" w:rsidP="00F129F1">
      <w:pPr>
        <w:pStyle w:val="BodyText"/>
      </w:pPr>
      <w:r w:rsidRPr="00A64052">
        <w:t xml:space="preserve">Councillors and officers have different but complementary roles. Both serve the public. Officers are responsible to the Council as a whole, whilst Councillors are responsible to the </w:t>
      </w:r>
      <w:proofErr w:type="gramStart"/>
      <w:r w:rsidRPr="00A64052">
        <w:t>electorate</w:t>
      </w:r>
      <w:r w:rsidRPr="00E32021">
        <w:t xml:space="preserve"> </w:t>
      </w:r>
      <w:r w:rsidRPr="00A64052">
        <w:t>as a whole</w:t>
      </w:r>
      <w:proofErr w:type="gramEnd"/>
      <w:r w:rsidRPr="00A64052">
        <w:t xml:space="preserve">. </w:t>
      </w:r>
    </w:p>
    <w:p w14:paraId="0787C3E8" w14:textId="701D1267" w:rsidR="00DA3EA2" w:rsidRPr="00DA3EA2" w:rsidRDefault="000E24E0" w:rsidP="00DA3EA2">
      <w:pPr>
        <w:pStyle w:val="Heading2"/>
      </w:pPr>
      <w:bookmarkStart w:id="5" w:name="_Toc231316485"/>
      <w:r w:rsidRPr="00DA3EA2">
        <w:t xml:space="preserve">General </w:t>
      </w:r>
      <w:r w:rsidR="00706090" w:rsidRPr="00DA3EA2">
        <w:t>Roles Of Councillors And Officers</w:t>
      </w:r>
      <w:bookmarkEnd w:id="5"/>
      <w:r w:rsidR="00706090" w:rsidRPr="00DA3EA2">
        <w:t xml:space="preserve"> </w:t>
      </w:r>
    </w:p>
    <w:p w14:paraId="347ACB22" w14:textId="70A6B1F3" w:rsidR="00DA3EA2" w:rsidRDefault="000E24E0" w:rsidP="000E24E0">
      <w:pPr>
        <w:pStyle w:val="BodyText"/>
      </w:pPr>
      <w:r w:rsidRPr="00A64052">
        <w:t xml:space="preserve">Officers are not appointed to serve any political group and therefore advise all Councillors. Officers carry out the daily functions of the Council’s business in accordance with Council or Committee decisions or under powers delegated to them pursuant to the Constitution. Officers are governed by the Code of Conduct </w:t>
      </w:r>
      <w:r>
        <w:t xml:space="preserve">for </w:t>
      </w:r>
      <w:r w:rsidRPr="00A64052">
        <w:t>Officers contained in the Constitution</w:t>
      </w:r>
      <w:r>
        <w:t xml:space="preserve"> </w:t>
      </w:r>
      <w:r w:rsidR="00647F3C" w:rsidRPr="000B1F5A">
        <w:t>([</w:t>
      </w:r>
      <w:r w:rsidR="00647F3C" w:rsidRPr="003279F0">
        <w:rPr>
          <w:highlight w:val="lightGray"/>
        </w:rPr>
        <w:t xml:space="preserve">state </w:t>
      </w:r>
      <w:r w:rsidR="00293F14">
        <w:rPr>
          <w:highlight w:val="lightGray"/>
        </w:rPr>
        <w:t>its</w:t>
      </w:r>
      <w:r w:rsidR="00647F3C" w:rsidRPr="003279F0">
        <w:rPr>
          <w:highlight w:val="lightGray"/>
        </w:rPr>
        <w:t xml:space="preserve"> location in the Constitution</w:t>
      </w:r>
      <w:r w:rsidR="00647F3C" w:rsidRPr="000B1F5A">
        <w:t>])</w:t>
      </w:r>
      <w:r w:rsidRPr="00A64052">
        <w:t xml:space="preserve">. In addition, planning officers, who are Members of the Royal Town Planning Institute (RTPI), are subject to a professional code of conduct and breaches may be subject to disciplinary action by the RTPI. Similarly, officers who are solicitors are subject to regulation by </w:t>
      </w:r>
      <w:r w:rsidR="00AD5791">
        <w:t>t</w:t>
      </w:r>
      <w:r w:rsidRPr="00A64052">
        <w:t xml:space="preserve">he Solicitors Regulation Authority. Officers in other professions will have similar codes. </w:t>
      </w:r>
    </w:p>
    <w:p w14:paraId="775B8E10" w14:textId="77777777" w:rsidR="00DA3EA2" w:rsidRDefault="000E24E0" w:rsidP="000E24E0">
      <w:pPr>
        <w:pStyle w:val="BodyText"/>
      </w:pPr>
      <w:r w:rsidRPr="00A64052">
        <w:t xml:space="preserve">The Localism Act 2011 sets out a duty for each local authority to promote and maintain high standards of conduct by Councillors and to adopt a code of conduct. The Code of Conduct </w:t>
      </w:r>
      <w:r>
        <w:t xml:space="preserve">for </w:t>
      </w:r>
      <w:r w:rsidRPr="00A64052">
        <w:t>Members is consistent with the principles of selflessness, integrity, objectivity, accountability, openness, honesty and leadership. It embraces the standards central to the preservation of an ethical approach to Council business, including the need to register and disclose interests, as well as appropriate relationships with other Councillors, staff and the public. The Council’s constitution sets down rules and orders which govern the conduct of Council business.</w:t>
      </w:r>
    </w:p>
    <w:p w14:paraId="160AE0B7" w14:textId="4FB7641E" w:rsidR="00DA3EA2" w:rsidRPr="00DA3EA2" w:rsidRDefault="000E24E0" w:rsidP="00DA3EA2">
      <w:pPr>
        <w:pStyle w:val="Heading2"/>
      </w:pPr>
      <w:bookmarkStart w:id="6" w:name="_Toc231316486"/>
      <w:r w:rsidRPr="00DA3EA2">
        <w:lastRenderedPageBreak/>
        <w:t xml:space="preserve">Relationship </w:t>
      </w:r>
      <w:r w:rsidR="00706090" w:rsidRPr="00DA3EA2">
        <w:t>Between Councillors And Officers</w:t>
      </w:r>
      <w:bookmarkEnd w:id="6"/>
      <w:r w:rsidR="00706090" w:rsidRPr="00DA3EA2">
        <w:t xml:space="preserve"> </w:t>
      </w:r>
    </w:p>
    <w:p w14:paraId="2CA664D4" w14:textId="77777777" w:rsidR="00DA3EA2" w:rsidRDefault="000E24E0" w:rsidP="000E24E0">
      <w:pPr>
        <w:pStyle w:val="BodyText"/>
      </w:pPr>
      <w:r w:rsidRPr="00A64052">
        <w:t xml:space="preserve">Mutual trust, respect and understanding between Councillors and officers are the keys to achieving effective local government. A successful relationship can only be based upon mutual trust and </w:t>
      </w:r>
      <w:r>
        <w:t xml:space="preserve">an </w:t>
      </w:r>
      <w:r w:rsidRPr="00A64052">
        <w:t xml:space="preserve">understanding of each other’s positions. This relationship, and the trust </w:t>
      </w:r>
      <w:r>
        <w:t xml:space="preserve">and respect </w:t>
      </w:r>
      <w:r w:rsidRPr="00A64052">
        <w:t xml:space="preserve">that underpins it, must never be abused or compromised. </w:t>
      </w:r>
    </w:p>
    <w:p w14:paraId="3B406C2B" w14:textId="77777777" w:rsidR="00DA3EA2" w:rsidRDefault="000E24E0" w:rsidP="000E24E0">
      <w:pPr>
        <w:pStyle w:val="BodyText"/>
      </w:pPr>
      <w:r w:rsidRPr="00A64052">
        <w:t xml:space="preserve">Planning officers’ views, opinions and recommendations will be presented based on their overriding obligation of professional independence, which may on occasion be at odds with the views, opinions or decisions of a committee or other meeting or its Councillors. </w:t>
      </w:r>
    </w:p>
    <w:p w14:paraId="38362E6C" w14:textId="562C6FBD" w:rsidR="00DA3EA2" w:rsidRDefault="000E24E0" w:rsidP="000E24E0">
      <w:pPr>
        <w:pStyle w:val="BodyText"/>
      </w:pPr>
      <w:r w:rsidRPr="00A64052">
        <w:t xml:space="preserve">Councillors must not put pressure on officers to put forward a particular recommendation or deal with a planning matter in a particular way. This does not prevent a Councillor from asking questions or submitting views to an officer. These views must be received in written form (eg email) and be placed on the planning file, so that they can be considered together with </w:t>
      </w:r>
      <w:r w:rsidR="006D6F94">
        <w:t xml:space="preserve">submissions where they are </w:t>
      </w:r>
      <w:r w:rsidRPr="00A64052">
        <w:t xml:space="preserve">material planning considerations. </w:t>
      </w:r>
    </w:p>
    <w:p w14:paraId="763A488E" w14:textId="487C77CB" w:rsidR="00DA3EA2" w:rsidRPr="00DA3EA2" w:rsidRDefault="000E24E0" w:rsidP="00E614C8">
      <w:pPr>
        <w:pStyle w:val="Heading1"/>
        <w:numPr>
          <w:ilvl w:val="0"/>
          <w:numId w:val="14"/>
        </w:numPr>
      </w:pPr>
      <w:bookmarkStart w:id="7" w:name="_Toc231316487"/>
      <w:r w:rsidRPr="00DA3EA2">
        <w:t>Interests</w:t>
      </w:r>
      <w:r w:rsidR="00706090" w:rsidRPr="00DA3EA2">
        <w:t xml:space="preserve">: </w:t>
      </w:r>
      <w:r w:rsidRPr="00DA3EA2">
        <w:t xml:space="preserve">Registration </w:t>
      </w:r>
      <w:r w:rsidR="00706090" w:rsidRPr="00DA3EA2">
        <w:t xml:space="preserve">And </w:t>
      </w:r>
      <w:r w:rsidRPr="00DA3EA2">
        <w:t>Disclosure</w:t>
      </w:r>
      <w:bookmarkEnd w:id="7"/>
    </w:p>
    <w:p w14:paraId="54E06BDB" w14:textId="77777777" w:rsidR="00DA3EA2" w:rsidRDefault="000E24E0" w:rsidP="000E24E0">
      <w:pPr>
        <w:pStyle w:val="BodyText"/>
      </w:pPr>
      <w:r w:rsidRPr="00A64052">
        <w:t xml:space="preserve">The provisions of the 2011 Act seek to separate interests arising from the personal and private interests of the Councillor from those arising from the Councillor’s wider public life. Councillors should think about how a reasonable member of the public, with full knowledge of all the relevant facts, would view the matter when considering whether the Councillor’s involvement would be appropriate. </w:t>
      </w:r>
    </w:p>
    <w:p w14:paraId="21EC4557" w14:textId="77777777" w:rsidR="00DA3EA2" w:rsidRDefault="000E24E0" w:rsidP="000E24E0">
      <w:pPr>
        <w:pStyle w:val="BodyText"/>
      </w:pPr>
      <w:r w:rsidRPr="00A64052">
        <w:t xml:space="preserve">A Councillor should refer to the </w:t>
      </w:r>
      <w:r>
        <w:t>Code of Conduct for Members</w:t>
      </w:r>
      <w:r w:rsidRPr="00A64052">
        <w:t xml:space="preserve"> for assistance in identifying Disclosable Pecuniary Interests or any Other Interests or seek advice from the Monitoring Officer prior to attending a meeting. A failure to properly register a Disclosable Pecuniary Interest or to participate in discussion or voting in a meeting on a matter in which a Councillor has a Disclosable Pecuniary Interest, are criminal offences. Ultimately, responsibility for fulfilling these requirements rests with each Councillor.</w:t>
      </w:r>
    </w:p>
    <w:p w14:paraId="7DC2FAC4" w14:textId="5FEF7F25" w:rsidR="00DA3EA2" w:rsidRPr="00DA3EA2" w:rsidRDefault="000E24E0" w:rsidP="00DA3EA2">
      <w:pPr>
        <w:pStyle w:val="Heading2"/>
      </w:pPr>
      <w:bookmarkStart w:id="8" w:name="_Toc231316488"/>
      <w:r w:rsidRPr="00DA3EA2">
        <w:t xml:space="preserve">Registration </w:t>
      </w:r>
      <w:r w:rsidR="00706090" w:rsidRPr="00DA3EA2">
        <w:t xml:space="preserve">Of </w:t>
      </w:r>
      <w:r w:rsidR="00706090">
        <w:t>I</w:t>
      </w:r>
      <w:r w:rsidR="00706090" w:rsidRPr="00DA3EA2">
        <w:t>nterests</w:t>
      </w:r>
      <w:bookmarkEnd w:id="8"/>
    </w:p>
    <w:p w14:paraId="594097CF" w14:textId="77777777" w:rsidR="00DA3EA2" w:rsidRDefault="000E24E0" w:rsidP="000E24E0">
      <w:pPr>
        <w:pStyle w:val="BodyText"/>
      </w:pPr>
      <w:r w:rsidRPr="00A64052">
        <w:t>A Councillor must provide the Monitoring Officer with written details of relevant interests within 28 days of their election or appointment to office. Any changes to those interests must similarly be notified within 28 days of the Councillor becoming aware of such changes.</w:t>
      </w:r>
    </w:p>
    <w:p w14:paraId="22988B59" w14:textId="0410060C" w:rsidR="00DA3EA2" w:rsidRPr="00DA3EA2" w:rsidRDefault="000E24E0" w:rsidP="00DA3EA2">
      <w:pPr>
        <w:pStyle w:val="Heading2"/>
      </w:pPr>
      <w:bookmarkStart w:id="9" w:name="_Toc231316489"/>
      <w:r w:rsidRPr="00DA3EA2">
        <w:t xml:space="preserve">Disclosure </w:t>
      </w:r>
      <w:r w:rsidR="00706090" w:rsidRPr="00DA3EA2">
        <w:t xml:space="preserve">Of </w:t>
      </w:r>
      <w:r w:rsidR="00706090">
        <w:t>I</w:t>
      </w:r>
      <w:r w:rsidR="00706090" w:rsidRPr="00DA3EA2">
        <w:t>nterests</w:t>
      </w:r>
      <w:bookmarkEnd w:id="9"/>
    </w:p>
    <w:p w14:paraId="4031EF2D" w14:textId="51173CD1" w:rsidR="00DA3EA2" w:rsidRDefault="000E24E0" w:rsidP="000E24E0">
      <w:pPr>
        <w:pStyle w:val="BodyText"/>
      </w:pPr>
      <w:r w:rsidRPr="00A64052">
        <w:t xml:space="preserve">It is always best to identify a potential interest early on. If a Councillor thinks that they may have an interest in a matter to be discussed at </w:t>
      </w:r>
      <w:r w:rsidR="009542D1">
        <w:t>[</w:t>
      </w:r>
      <w:r w:rsidR="009542D1" w:rsidRPr="002C46ED">
        <w:rPr>
          <w:highlight w:val="lightGray"/>
        </w:rPr>
        <w:t>Planning Committee</w:t>
      </w:r>
      <w:r w:rsidR="009542D1">
        <w:t>]</w:t>
      </w:r>
      <w:r w:rsidRPr="00A64052">
        <w:t>, he or she should raise this with the Monitoring Officer as soon as possible.</w:t>
      </w:r>
    </w:p>
    <w:p w14:paraId="4E9589A7" w14:textId="1751F0A6" w:rsidR="00DA3EA2" w:rsidRPr="00DA3EA2" w:rsidRDefault="000E24E0" w:rsidP="00DA3EA2">
      <w:pPr>
        <w:pStyle w:val="Heading2"/>
      </w:pPr>
      <w:bookmarkStart w:id="10" w:name="_Toc231316490"/>
      <w:r w:rsidRPr="00DA3EA2">
        <w:lastRenderedPageBreak/>
        <w:t xml:space="preserve">Personal </w:t>
      </w:r>
      <w:r w:rsidR="00706090" w:rsidRPr="00DA3EA2">
        <w:t>And Pecuniary Interests</w:t>
      </w:r>
      <w:bookmarkEnd w:id="10"/>
      <w:r w:rsidR="00706090" w:rsidRPr="00DA3EA2">
        <w:t xml:space="preserve"> </w:t>
      </w:r>
    </w:p>
    <w:p w14:paraId="6E640671" w14:textId="77777777" w:rsidR="00DA3EA2" w:rsidRDefault="000E24E0" w:rsidP="000E24E0">
      <w:pPr>
        <w:pStyle w:val="BodyText"/>
      </w:pPr>
      <w:r w:rsidRPr="00A64052">
        <w:t xml:space="preserve">The Council’s Code </w:t>
      </w:r>
      <w:r>
        <w:t xml:space="preserve">of Conduct for </w:t>
      </w:r>
      <w:r w:rsidRPr="00A64052">
        <w:t xml:space="preserve">Members includes provision for declaration of interests that are wider than Disclosable Pecuniary Interests under the Localism Act 2011. Some personal interests may amount to pecuniary interests that impact on members’ ability to participate and vote on that item. </w:t>
      </w:r>
    </w:p>
    <w:p w14:paraId="4E1D89AB" w14:textId="11538858" w:rsidR="00DA3EA2" w:rsidRPr="00DA3EA2" w:rsidRDefault="000E24E0" w:rsidP="00DA3EA2">
      <w:pPr>
        <w:pStyle w:val="Heading2"/>
      </w:pPr>
      <w:bookmarkStart w:id="11" w:name="_Toc231316491"/>
      <w:r w:rsidRPr="00DA3EA2">
        <w:t xml:space="preserve">Disclosable </w:t>
      </w:r>
      <w:r w:rsidR="00706090" w:rsidRPr="00DA3EA2">
        <w:t>Pecuniary Interests</w:t>
      </w:r>
      <w:bookmarkEnd w:id="11"/>
    </w:p>
    <w:p w14:paraId="2E9BC32C" w14:textId="0BB16498" w:rsidR="00DA3EA2" w:rsidRDefault="000E24E0" w:rsidP="000E24E0">
      <w:pPr>
        <w:pStyle w:val="BodyText"/>
      </w:pPr>
      <w:r w:rsidRPr="00A64052">
        <w:t xml:space="preserve">Where a Councillor has a Disclosable Pecuniary Interest relating to an item under discussion, the Councillor may not participate (or participate further) in any discussion of the matter at the meeting or participate in any vote (or further vote) on the matter. The Councillor </w:t>
      </w:r>
      <w:r w:rsidR="00620DE6">
        <w:t>must</w:t>
      </w:r>
      <w:r w:rsidRPr="00A64052">
        <w:t xml:space="preserve"> also withdraw from the committee room. This means that a Councillor with a Disclosable Pecuniary Interest is precluded from making representations orally to the committee or from making representations on behalf of a party to the hearing. </w:t>
      </w:r>
    </w:p>
    <w:p w14:paraId="4AFD1722" w14:textId="77777777" w:rsidR="00DA3EA2" w:rsidRDefault="000E24E0" w:rsidP="000E24E0">
      <w:pPr>
        <w:pStyle w:val="BodyText"/>
      </w:pPr>
      <w:r w:rsidRPr="00A64052">
        <w:t>A Councillor with a Disclosable Pecuniary Interest can still present their views to the committee through other means. For example, the Councillor can:</w:t>
      </w:r>
    </w:p>
    <w:p w14:paraId="42FBA8C7" w14:textId="7F892E75" w:rsidR="000E24E0" w:rsidRPr="00A64052" w:rsidRDefault="000E24E0" w:rsidP="00DA3EA2">
      <w:pPr>
        <w:pStyle w:val="ListBullet"/>
      </w:pPr>
      <w:r w:rsidRPr="00A64052">
        <w:t xml:space="preserve">make written representations on a planning application in their private capacity – the existence and nature of the interest should be disclosed in such </w:t>
      </w:r>
      <w:r w:rsidR="002372ED" w:rsidRPr="00A64052">
        <w:t>representations,</w:t>
      </w:r>
      <w:r w:rsidRPr="00A64052">
        <w:t xml:space="preserve"> and the Councillor should not seek preferential consideration for their representations – such written representations should be addressed to officers rather than to other Councillors;</w:t>
      </w:r>
    </w:p>
    <w:p w14:paraId="4B86C4B1" w14:textId="77777777" w:rsidR="000E24E0" w:rsidRPr="00A64052" w:rsidRDefault="000E24E0" w:rsidP="00DA3EA2">
      <w:pPr>
        <w:pStyle w:val="ListBullet"/>
      </w:pPr>
      <w:r w:rsidRPr="00A64052">
        <w:t>use a professional representative to make a representation on the Councillor’s behalf in circumstances where the Councillor’s planning application is under consideration; or</w:t>
      </w:r>
    </w:p>
    <w:p w14:paraId="3997454B" w14:textId="77777777" w:rsidR="00DA3EA2" w:rsidRDefault="000E24E0" w:rsidP="00DA3EA2">
      <w:pPr>
        <w:pStyle w:val="ListBullet"/>
      </w:pPr>
      <w:r w:rsidRPr="00A64052">
        <w:t>arrange for another Councillor (eg, a fellow ward Councillor) to represent the views of the Councillor’s constituents on matters in which the Councillor has a Disclosable Pecuniary Interest.</w:t>
      </w:r>
    </w:p>
    <w:p w14:paraId="671440BD" w14:textId="4E706791" w:rsidR="00DA3EA2" w:rsidRDefault="000E24E0" w:rsidP="000E24E0">
      <w:pPr>
        <w:pStyle w:val="BodyText"/>
      </w:pPr>
      <w:r w:rsidRPr="00A64052">
        <w:t xml:space="preserve">Although a Disclosable Pecuniary Interest relating to an item under discussion requires the withdrawal of the Councillor from the committee, in certain circumstances a dispensation can be sought from the Monitoring Officer to be present for that item of business. </w:t>
      </w:r>
    </w:p>
    <w:p w14:paraId="564EF303" w14:textId="77777777" w:rsidR="00DA3EA2" w:rsidRDefault="000E24E0" w:rsidP="000E24E0">
      <w:pPr>
        <w:pStyle w:val="BodyText"/>
      </w:pPr>
      <w:r w:rsidRPr="00A64052">
        <w:t>Members should also have regard to the requirements regarding personal and pecuniary interests under the Code since these may also require a declaration of interest and may impact on members’ ability to participate in an item.</w:t>
      </w:r>
    </w:p>
    <w:p w14:paraId="12EF4115" w14:textId="6E4E8887" w:rsidR="00DA3EA2" w:rsidRPr="00DA3EA2" w:rsidRDefault="000E24E0" w:rsidP="00E614C8">
      <w:pPr>
        <w:pStyle w:val="Heading1"/>
        <w:numPr>
          <w:ilvl w:val="0"/>
          <w:numId w:val="14"/>
        </w:numPr>
      </w:pPr>
      <w:bookmarkStart w:id="12" w:name="_Toc231316492"/>
      <w:r w:rsidRPr="00DA3EA2">
        <w:t>Bias: Predetermination</w:t>
      </w:r>
      <w:r w:rsidR="008C7B99">
        <w:t xml:space="preserve"> And </w:t>
      </w:r>
      <w:r w:rsidRPr="00DA3EA2">
        <w:t>Predisposition</w:t>
      </w:r>
      <w:bookmarkEnd w:id="12"/>
    </w:p>
    <w:p w14:paraId="2818426A" w14:textId="22B6E29F" w:rsidR="00DA3EA2" w:rsidRDefault="000E24E0" w:rsidP="000E24E0">
      <w:pPr>
        <w:pStyle w:val="BodyText"/>
      </w:pPr>
      <w:r w:rsidRPr="00A64052">
        <w:t xml:space="preserve">In addition to being aware and taking appropriate action in relation to interests, </w:t>
      </w:r>
      <w:r w:rsidR="009542D1">
        <w:t>[</w:t>
      </w:r>
      <w:r w:rsidR="009542D1" w:rsidRPr="00CF231D">
        <w:rPr>
          <w:highlight w:val="lightGray"/>
        </w:rPr>
        <w:t>Planning Committee</w:t>
      </w:r>
      <w:r w:rsidR="009542D1">
        <w:t>]</w:t>
      </w:r>
      <w:r w:rsidRPr="00A64052">
        <w:t xml:space="preserve"> Councillors need to avoid any appearance of bias or of having predetermined their views before taking a decision on a planning application, on planning policies or on other planning matters, such as enforcement. Avoidance of bias or predetermination or the appearance of bias or predetermination is a principle of natural justice that the decision maker is expected to adhere to.</w:t>
      </w:r>
    </w:p>
    <w:p w14:paraId="668AEDE6" w14:textId="77777777" w:rsidR="00DA3EA2" w:rsidRDefault="000E24E0" w:rsidP="000E24E0">
      <w:pPr>
        <w:pStyle w:val="BodyText"/>
      </w:pPr>
      <w:r w:rsidRPr="00A64052">
        <w:lastRenderedPageBreak/>
        <w:t>The courts have sought to distinguish between situations which involve predetermination or bias on the one hand and predisposition on the other. The former is indicative of a “closed mind” and likely to leave the committee’s decision susceptible to challenge by Judicial Review. The latter is the perfectly normal process of someone making up their mind.</w:t>
      </w:r>
    </w:p>
    <w:p w14:paraId="3B0B2BC9" w14:textId="62FCBFDF" w:rsidR="00DA3EA2" w:rsidRDefault="000E24E0" w:rsidP="000E24E0">
      <w:pPr>
        <w:pStyle w:val="BodyText"/>
      </w:pPr>
      <w:r w:rsidRPr="00A64052">
        <w:t xml:space="preserve">Clearly expressing an intention to vote in a particular way before a meeting (predetermination) is different from where a Councillor makes it clear that, although they have an initial view, they are willing to listen to all the material considerations presented at the committee and to keep an open mind before deciding on how to exercise their vote (predisposition). The latter is </w:t>
      </w:r>
      <w:proofErr w:type="gramStart"/>
      <w:r w:rsidRPr="00A64052">
        <w:t>acceptable</w:t>
      </w:r>
      <w:r w:rsidR="00894AF5">
        <w:t>,</w:t>
      </w:r>
      <w:proofErr w:type="gramEnd"/>
      <w:r w:rsidRPr="00A64052">
        <w:t xml:space="preserve"> the former is not and may result in a Court quashing such a planning decision. </w:t>
      </w:r>
    </w:p>
    <w:p w14:paraId="4E819619" w14:textId="1EDBCF43" w:rsidR="00DA3EA2" w:rsidRDefault="000E24E0" w:rsidP="000E24E0">
      <w:pPr>
        <w:pStyle w:val="BodyText"/>
      </w:pPr>
      <w:r w:rsidRPr="00A64052">
        <w:t xml:space="preserve">Section 25 of the 2011 </w:t>
      </w:r>
      <w:r w:rsidR="005952FD">
        <w:t xml:space="preserve">Localism </w:t>
      </w:r>
      <w:r w:rsidRPr="00A64052">
        <w:t xml:space="preserve">Act provides that a Councillor should not be regarded as having a closed mind simply because they previously did or said something that, directly or indirectly, indicated what view they might take in relation to any </w:t>
      </w:r>
      <w:proofErr w:type="gramStart"/>
      <w:r w:rsidRPr="00A64052">
        <w:t>particular matter</w:t>
      </w:r>
      <w:proofErr w:type="gramEnd"/>
      <w:r w:rsidRPr="00A64052">
        <w:t xml:space="preserve">. This enacted the common-law position that a Councillor may be predisposed on a matter before it comes to Committee, provided they remain open to listening to all the arguments and </w:t>
      </w:r>
      <w:r>
        <w:t>are prepared to change</w:t>
      </w:r>
      <w:r w:rsidRPr="00A64052">
        <w:t xml:space="preserve"> their mind in the light of information presented at the meeting. Nevertheless, a Councillor in this position will always be judged against an objective test of whether the reasonable onlooker, with knowledge of the relevant facts, would consider whether the Councillor was biased. </w:t>
      </w:r>
      <w:r>
        <w:t xml:space="preserve">It is not enough just to say you have an open </w:t>
      </w:r>
      <w:r w:rsidR="0065539D">
        <w:t>mind;</w:t>
      </w:r>
      <w:r>
        <w:t xml:space="preserve"> you need to act in a way that shows that you have.</w:t>
      </w:r>
    </w:p>
    <w:p w14:paraId="4FD24398" w14:textId="77777777" w:rsidR="00DA3EA2" w:rsidRDefault="000E24E0" w:rsidP="000E24E0">
      <w:pPr>
        <w:pStyle w:val="BodyText"/>
      </w:pPr>
      <w:r w:rsidRPr="00A64052">
        <w:t>For example, a Councillor who states, “Windfarms are blots on the landscape and I will oppose each and every windfarm application that comes before the committee” will be perceived very differently from a Councillor who states, “Many people find windfarms ugly and noisy, and I will need a lot of persuading that any more windfarms should be allowed in our area.” The former has a closed mind and is predetermined, whereas the latter is predisposed but is still maintaining an open mind.</w:t>
      </w:r>
    </w:p>
    <w:p w14:paraId="04E91132" w14:textId="415649FD" w:rsidR="00B13D9F" w:rsidRDefault="00B13D9F" w:rsidP="00B13D9F">
      <w:pPr>
        <w:pStyle w:val="BodyText"/>
        <w:numPr>
          <w:ilvl w:val="0"/>
          <w:numId w:val="0"/>
        </w:numPr>
      </w:pPr>
      <w:r>
        <w:t>[</w:t>
      </w:r>
      <w:r w:rsidRPr="001D7CB9">
        <w:rPr>
          <w:highlight w:val="lightGray"/>
        </w:rPr>
        <w:t>NOTE: The next paragraph should be deleted if it is not a Council’s practice to</w:t>
      </w:r>
      <w:r w:rsidR="00202AE7" w:rsidRPr="001D7CB9">
        <w:rPr>
          <w:highlight w:val="lightGray"/>
        </w:rPr>
        <w:t xml:space="preserve"> present development</w:t>
      </w:r>
      <w:r w:rsidR="00773F68" w:rsidRPr="001D7CB9">
        <w:rPr>
          <w:highlight w:val="lightGray"/>
        </w:rPr>
        <w:t xml:space="preserve"> proposal</w:t>
      </w:r>
      <w:r w:rsidR="00202AE7" w:rsidRPr="001D7CB9">
        <w:rPr>
          <w:highlight w:val="lightGray"/>
        </w:rPr>
        <w:t>s to Planning Committee at the pre-application stage.</w:t>
      </w:r>
      <w:r w:rsidR="00202AE7">
        <w:t>]</w:t>
      </w:r>
    </w:p>
    <w:p w14:paraId="5D699932" w14:textId="6EE704E6" w:rsidR="00DA3EA2" w:rsidRDefault="000E24E0" w:rsidP="000E24E0">
      <w:pPr>
        <w:pStyle w:val="BodyText"/>
      </w:pPr>
      <w:r w:rsidRPr="00A64052">
        <w:t xml:space="preserve">This distinction is particularly important in the context of the Council’s practice of facilitating presentations to </w:t>
      </w:r>
      <w:r w:rsidR="009542D1">
        <w:t>[</w:t>
      </w:r>
      <w:r w:rsidR="009542D1" w:rsidRPr="001D7CB9">
        <w:rPr>
          <w:highlight w:val="lightGray"/>
        </w:rPr>
        <w:t>Planning Committee</w:t>
      </w:r>
      <w:r w:rsidR="009542D1">
        <w:t>]</w:t>
      </w:r>
      <w:r w:rsidRPr="00A64052">
        <w:t xml:space="preserve"> by developers of schemes at the pre-application stage. After these presentations, </w:t>
      </w:r>
      <w:r w:rsidR="009542D1">
        <w:t>[</w:t>
      </w:r>
      <w:r w:rsidR="009542D1" w:rsidRPr="001D7CB9">
        <w:rPr>
          <w:highlight w:val="lightGray"/>
        </w:rPr>
        <w:t>Planning Committee</w:t>
      </w:r>
      <w:r w:rsidR="009542D1">
        <w:t>]</w:t>
      </w:r>
      <w:r w:rsidRPr="00A64052">
        <w:t xml:space="preserve"> Councillors question details of the development so that they can input into the design development of these strategic schemes. They will therefore express views on aspects of the development (such as its external appearance, impact on neighbours or transport network implications) which will display predisposition around these elements. What a </w:t>
      </w:r>
      <w:r w:rsidR="009542D1">
        <w:t>[</w:t>
      </w:r>
      <w:r w:rsidR="009542D1" w:rsidRPr="001D7CB9">
        <w:rPr>
          <w:highlight w:val="lightGray"/>
        </w:rPr>
        <w:t>Planning Committee</w:t>
      </w:r>
      <w:r w:rsidR="009542D1">
        <w:t>]</w:t>
      </w:r>
      <w:r w:rsidRPr="00A64052">
        <w:t xml:space="preserve"> Councillor should not do at this pre-application stage is to express a firm view on the </w:t>
      </w:r>
      <w:proofErr w:type="gramStart"/>
      <w:r w:rsidRPr="00A64052">
        <w:t>development as a whole, as</w:t>
      </w:r>
      <w:proofErr w:type="gramEnd"/>
      <w:r w:rsidRPr="00A64052">
        <w:t xml:space="preserve"> this could amount to predetermination. Such a view should only be formed at the end of the process, when all the material considerations are available to the </w:t>
      </w:r>
      <w:r w:rsidR="009542D1">
        <w:t>[</w:t>
      </w:r>
      <w:r w:rsidR="009542D1" w:rsidRPr="001D7CB9">
        <w:rPr>
          <w:highlight w:val="lightGray"/>
        </w:rPr>
        <w:t>Planning Committee</w:t>
      </w:r>
      <w:r w:rsidR="009542D1">
        <w:t>]</w:t>
      </w:r>
      <w:r w:rsidRPr="00A64052">
        <w:t xml:space="preserve"> Councillor to consider and weigh up before finalising their view. </w:t>
      </w:r>
    </w:p>
    <w:p w14:paraId="3BA107B0" w14:textId="5B974014" w:rsidR="00DA3EA2" w:rsidRPr="00DA3EA2" w:rsidRDefault="000E24E0" w:rsidP="00DA3EA2">
      <w:pPr>
        <w:pStyle w:val="Heading2"/>
      </w:pPr>
      <w:bookmarkStart w:id="13" w:name="_Toc231316493"/>
      <w:r w:rsidRPr="00DA3EA2">
        <w:lastRenderedPageBreak/>
        <w:t xml:space="preserve">Dealing </w:t>
      </w:r>
      <w:r w:rsidR="00706090" w:rsidRPr="00DA3EA2">
        <w:t xml:space="preserve">With </w:t>
      </w:r>
      <w:r w:rsidR="00706090">
        <w:t>L</w:t>
      </w:r>
      <w:r w:rsidR="00706090" w:rsidRPr="00DA3EA2">
        <w:t>obbying</w:t>
      </w:r>
      <w:bookmarkEnd w:id="13"/>
    </w:p>
    <w:p w14:paraId="654E8010" w14:textId="3EFC7380" w:rsidR="00DA3EA2" w:rsidRDefault="000E24E0" w:rsidP="000E24E0">
      <w:pPr>
        <w:pStyle w:val="BodyText"/>
      </w:pPr>
      <w:r w:rsidRPr="00A64052">
        <w:t xml:space="preserve">A </w:t>
      </w:r>
      <w:r w:rsidR="009542D1">
        <w:t>[</w:t>
      </w:r>
      <w:r w:rsidR="009542D1" w:rsidRPr="00FA4DBE">
        <w:rPr>
          <w:highlight w:val="lightGray"/>
        </w:rPr>
        <w:t>Planning Committee</w:t>
      </w:r>
      <w:r w:rsidR="009542D1">
        <w:t>]</w:t>
      </w:r>
      <w:r w:rsidRPr="00A64052">
        <w:t xml:space="preserve"> Councillor who has been lobbied and wishes to support their constituent or is a Ward Councillor and wishes to campaign for or against a proposal, will need to consider whether this is likely to be regarded as amounting to bias and going against the fair determination of the planning application. If they have predetermined their position or have given that impression, they should avoid being part of the decision-making body for that application. A </w:t>
      </w:r>
      <w:r w:rsidR="009542D1">
        <w:t>[</w:t>
      </w:r>
      <w:r w:rsidR="009542D1" w:rsidRPr="00FA4DBE">
        <w:rPr>
          <w:highlight w:val="lightGray"/>
        </w:rPr>
        <w:t>Planning Committee</w:t>
      </w:r>
      <w:r w:rsidR="009542D1">
        <w:t>]</w:t>
      </w:r>
      <w:r w:rsidRPr="00A64052">
        <w:t xml:space="preserve"> Councillor could speak at </w:t>
      </w:r>
      <w:r w:rsidR="009542D1">
        <w:t>[</w:t>
      </w:r>
      <w:r w:rsidR="009542D1" w:rsidRPr="00D875CD">
        <w:rPr>
          <w:highlight w:val="lightGray"/>
        </w:rPr>
        <w:t>Planning Committee</w:t>
      </w:r>
      <w:r w:rsidR="009542D1">
        <w:t>]</w:t>
      </w:r>
      <w:r w:rsidRPr="00A64052">
        <w:t xml:space="preserve"> (in accordance with the </w:t>
      </w:r>
      <w:r>
        <w:t xml:space="preserve">Public </w:t>
      </w:r>
      <w:r w:rsidRPr="00A64052">
        <w:t xml:space="preserve">Speaking Rights rules in the </w:t>
      </w:r>
      <w:r w:rsidR="009542D1">
        <w:t>[</w:t>
      </w:r>
      <w:r w:rsidR="009542D1" w:rsidRPr="00FA4DBE">
        <w:rPr>
          <w:highlight w:val="lightGray"/>
        </w:rPr>
        <w:t>Planning Committee</w:t>
      </w:r>
      <w:r w:rsidR="009542D1">
        <w:t>]</w:t>
      </w:r>
      <w:r w:rsidRPr="00A64052">
        <w:t xml:space="preserve"> </w:t>
      </w:r>
      <w:r w:rsidR="00DB7506">
        <w:t>Procedures</w:t>
      </w:r>
      <w:r w:rsidRPr="00A64052">
        <w:t>) on behalf of their constituents, having declared their pre-determined position, but could not take part in the planning decision.</w:t>
      </w:r>
    </w:p>
    <w:p w14:paraId="7B8517B2" w14:textId="0C2CC767" w:rsidR="00DA3EA2" w:rsidRDefault="000E24E0" w:rsidP="000E24E0">
      <w:pPr>
        <w:pStyle w:val="BodyText"/>
      </w:pPr>
      <w:r w:rsidRPr="00A64052">
        <w:t xml:space="preserve">Participation as a </w:t>
      </w:r>
      <w:r w:rsidR="009542D1">
        <w:t>[</w:t>
      </w:r>
      <w:r w:rsidR="009542D1" w:rsidRPr="00FA4DBE">
        <w:rPr>
          <w:highlight w:val="lightGray"/>
        </w:rPr>
        <w:t>Planning Committee</w:t>
      </w:r>
      <w:r w:rsidR="009542D1">
        <w:t>]</w:t>
      </w:r>
      <w:r w:rsidRPr="00A64052">
        <w:t xml:space="preserve"> Councillor where a Councillor is or may be perceived to be biased, in addition to the risk of a complaint against the individual Councillor, also places the decision of the Committee at risk from legal challenge. As such, if a </w:t>
      </w:r>
      <w:r w:rsidR="009542D1">
        <w:t>[</w:t>
      </w:r>
      <w:r w:rsidR="009542D1" w:rsidRPr="00FA4DBE">
        <w:rPr>
          <w:highlight w:val="lightGray"/>
        </w:rPr>
        <w:t>Planning Committee</w:t>
      </w:r>
      <w:r w:rsidR="009542D1">
        <w:t>]</w:t>
      </w:r>
      <w:r w:rsidRPr="00A64052">
        <w:t xml:space="preserve"> Councillor considers that they are or have given the impression that they are biased or predetermined</w:t>
      </w:r>
      <w:r w:rsidR="00615D6E">
        <w:t>,</w:t>
      </w:r>
      <w:r w:rsidRPr="00A64052">
        <w:t xml:space="preserve"> it is </w:t>
      </w:r>
      <w:r w:rsidR="0025061F">
        <w:t xml:space="preserve">unlikely to be </w:t>
      </w:r>
      <w:r w:rsidRPr="00A64052">
        <w:t xml:space="preserve">appropriate for them to participate in the matter. </w:t>
      </w:r>
    </w:p>
    <w:p w14:paraId="5D43A8A3" w14:textId="5600AE74" w:rsidR="00DA3EA2" w:rsidRPr="00DA3EA2" w:rsidRDefault="000E24E0" w:rsidP="00E614C8">
      <w:pPr>
        <w:pStyle w:val="Heading1"/>
        <w:numPr>
          <w:ilvl w:val="0"/>
          <w:numId w:val="14"/>
        </w:numPr>
      </w:pPr>
      <w:bookmarkStart w:id="14" w:name="_Toc231316494"/>
      <w:r w:rsidRPr="00DA3EA2">
        <w:t xml:space="preserve">Applications Submitted </w:t>
      </w:r>
      <w:r w:rsidR="00706090" w:rsidRPr="00DA3EA2">
        <w:t xml:space="preserve">By The </w:t>
      </w:r>
      <w:r w:rsidRPr="00DA3EA2">
        <w:t>Council</w:t>
      </w:r>
      <w:r w:rsidR="00706090" w:rsidRPr="00DA3EA2">
        <w:t xml:space="preserve">, </w:t>
      </w:r>
      <w:r w:rsidRPr="00DA3EA2">
        <w:t xml:space="preserve">Councillors </w:t>
      </w:r>
      <w:r w:rsidR="00706090" w:rsidRPr="00DA3EA2">
        <w:t xml:space="preserve">Or </w:t>
      </w:r>
      <w:r w:rsidRPr="00DA3EA2">
        <w:t>Officers</w:t>
      </w:r>
      <w:bookmarkEnd w:id="14"/>
      <w:r w:rsidRPr="00DA3EA2">
        <w:t xml:space="preserve"> </w:t>
      </w:r>
    </w:p>
    <w:p w14:paraId="7A7B34C0" w14:textId="77777777" w:rsidR="00DA3EA2" w:rsidRDefault="000E24E0" w:rsidP="000E24E0">
      <w:pPr>
        <w:pStyle w:val="BodyText"/>
      </w:pPr>
      <w:r w:rsidRPr="007E0AB4">
        <w:t>Care needs to be taken in the way these applications are dealt with</w:t>
      </w:r>
      <w:r>
        <w:t>.</w:t>
      </w:r>
    </w:p>
    <w:p w14:paraId="69DCEE01" w14:textId="4EA97B81" w:rsidR="00DA3EA2" w:rsidRPr="00DA3EA2" w:rsidRDefault="000E24E0" w:rsidP="00DA3EA2">
      <w:pPr>
        <w:pStyle w:val="Heading2"/>
      </w:pPr>
      <w:bookmarkStart w:id="15" w:name="_Toc231316495"/>
      <w:r w:rsidRPr="00DA3EA2">
        <w:t xml:space="preserve">Applications </w:t>
      </w:r>
      <w:r w:rsidR="00706090">
        <w:t>S</w:t>
      </w:r>
      <w:r w:rsidR="00706090" w:rsidRPr="00DA3EA2">
        <w:t xml:space="preserve">ubmitted By The </w:t>
      </w:r>
      <w:r w:rsidRPr="00DA3EA2">
        <w:t>Council</w:t>
      </w:r>
      <w:bookmarkEnd w:id="15"/>
      <w:r w:rsidRPr="00DA3EA2">
        <w:t xml:space="preserve"> </w:t>
      </w:r>
    </w:p>
    <w:p w14:paraId="1B010A41" w14:textId="77777777" w:rsidR="00DA3EA2" w:rsidRDefault="000E24E0" w:rsidP="000E24E0">
      <w:pPr>
        <w:pStyle w:val="BodyText"/>
      </w:pPr>
      <w:r w:rsidRPr="00A64052">
        <w:t xml:space="preserve">Proposals for a Council’s own development can give rise to suspicions of impropriety. It is perfectly legitimate for such proposals to be submitted to and determined by the Council. Proposals for a Council’s own development will be treated no differently from any other application. </w:t>
      </w:r>
    </w:p>
    <w:p w14:paraId="6EF2CAB3" w14:textId="77777777" w:rsidR="003D18E6" w:rsidRDefault="003D18E6" w:rsidP="003D18E6">
      <w:pPr>
        <w:pStyle w:val="BodyText"/>
      </w:pPr>
      <w:r w:rsidRPr="00A64052">
        <w:t xml:space="preserve">The </w:t>
      </w:r>
      <w:r>
        <w:t>Planning Scheme of Delegation</w:t>
      </w:r>
      <w:r w:rsidRPr="00A64052">
        <w:t xml:space="preserve"> sets out the circumstances when applications submitted by </w:t>
      </w:r>
      <w:r>
        <w:t>the Council</w:t>
      </w:r>
      <w:r w:rsidRPr="00A64052">
        <w:t xml:space="preserve"> must be determined by </w:t>
      </w:r>
      <w:r>
        <w:t>C</w:t>
      </w:r>
      <w:r w:rsidRPr="00A64052">
        <w:t>ommittee.</w:t>
      </w:r>
    </w:p>
    <w:p w14:paraId="0BA37AD0" w14:textId="35C2DED2" w:rsidR="00DA3EA2" w:rsidRDefault="000E24E0" w:rsidP="000E24E0">
      <w:pPr>
        <w:pStyle w:val="BodyText"/>
      </w:pPr>
      <w:r w:rsidRPr="00A64052">
        <w:t xml:space="preserve">Certain Councillors may, through their other roles outside of </w:t>
      </w:r>
      <w:r w:rsidR="009542D1">
        <w:t>[</w:t>
      </w:r>
      <w:r w:rsidR="009542D1" w:rsidRPr="006A12AB">
        <w:rPr>
          <w:highlight w:val="lightGray"/>
        </w:rPr>
        <w:t>Planning Committee</w:t>
      </w:r>
      <w:r w:rsidR="009542D1">
        <w:t>]</w:t>
      </w:r>
      <w:r w:rsidRPr="00A64052">
        <w:t xml:space="preserve"> (eg a Portfolio Holder), have been heavily committed to or involved in a Council’s own development proposal. In such circumstances, when an item comes to be considered at </w:t>
      </w:r>
      <w:r w:rsidR="009542D1">
        <w:t>[</w:t>
      </w:r>
      <w:r w:rsidR="009542D1" w:rsidRPr="008F5FEF">
        <w:rPr>
          <w:highlight w:val="lightGray"/>
        </w:rPr>
        <w:t>Planning Committee</w:t>
      </w:r>
      <w:r w:rsidR="009542D1">
        <w:t>]</w:t>
      </w:r>
      <w:r w:rsidRPr="00A64052">
        <w:t xml:space="preserve">, the Councillor concerned, if they sit on the Committee, must consider whether they have an interest or degree of involvement with the proposals that could give the impression of bias. If in doubt, they are encouraged to seek advice from the Monitoring Officer. The most appropriate course of action, if that is the case, is that the Councillor concerned may address the Committee in the applicant’s speaking slot (see the </w:t>
      </w:r>
      <w:r>
        <w:t xml:space="preserve">Public </w:t>
      </w:r>
      <w:r w:rsidRPr="00A64052">
        <w:t xml:space="preserve">Speaking Rights rules in the </w:t>
      </w:r>
      <w:r w:rsidR="009542D1">
        <w:t>[</w:t>
      </w:r>
      <w:r w:rsidR="009542D1" w:rsidRPr="006A12AB">
        <w:rPr>
          <w:highlight w:val="lightGray"/>
        </w:rPr>
        <w:t>Planning Committee</w:t>
      </w:r>
      <w:r w:rsidR="009542D1">
        <w:t>]</w:t>
      </w:r>
      <w:r w:rsidRPr="00A64052">
        <w:t xml:space="preserve"> </w:t>
      </w:r>
      <w:r w:rsidR="00AF4C46">
        <w:t>Procedures</w:t>
      </w:r>
      <w:r w:rsidRPr="00A64052">
        <w:t xml:space="preserve">) but does not take part in its consideration and determination. It is important that the Councillor should restrict their address to the Committee to relevant planning considerations rather than wider non-planning issues that are not material to the determination of the application. </w:t>
      </w:r>
    </w:p>
    <w:p w14:paraId="66091BF8" w14:textId="686D97CD" w:rsidR="00DA3EA2" w:rsidRPr="00DA3EA2" w:rsidRDefault="000E24E0" w:rsidP="00DA3EA2">
      <w:pPr>
        <w:pStyle w:val="Heading2"/>
      </w:pPr>
      <w:bookmarkStart w:id="16" w:name="_Toc231316496"/>
      <w:r w:rsidRPr="00DA3EA2">
        <w:lastRenderedPageBreak/>
        <w:t xml:space="preserve">Applications </w:t>
      </w:r>
      <w:r w:rsidR="00706090" w:rsidRPr="00DA3EA2">
        <w:t>Submitted By Councillors Or Officers</w:t>
      </w:r>
      <w:bookmarkEnd w:id="16"/>
      <w:r w:rsidR="00706090" w:rsidRPr="00DA3EA2">
        <w:t xml:space="preserve"> </w:t>
      </w:r>
    </w:p>
    <w:p w14:paraId="1E637A48" w14:textId="77777777" w:rsidR="00DA3EA2" w:rsidRDefault="000E24E0" w:rsidP="000E24E0">
      <w:pPr>
        <w:pStyle w:val="BodyText"/>
      </w:pPr>
      <w:r w:rsidRPr="00A64052">
        <w:t xml:space="preserve">It is perfectly legitimate for planning applications to be submitted by Councillors and members of staff. However, it is vital to ensure that they are handled in a way that gives no grounds for accusations of bias or pre-determination. </w:t>
      </w:r>
    </w:p>
    <w:p w14:paraId="146E7147" w14:textId="77777777" w:rsidR="00DA3EA2" w:rsidRDefault="000E24E0" w:rsidP="000E24E0">
      <w:pPr>
        <w:pStyle w:val="BodyText"/>
      </w:pPr>
      <w:r w:rsidRPr="00A64052">
        <w:t xml:space="preserve">If a councillor or an officer submits their own proposal to the Council which they serve, they should take no part in its processing. A Councillor who acts as an agent or representative for someone pursuing a planning matter with the authority should also take no part in its processing. </w:t>
      </w:r>
    </w:p>
    <w:p w14:paraId="773A7C3F" w14:textId="5DE3F964" w:rsidR="00DA3EA2" w:rsidRDefault="000E24E0" w:rsidP="000E24E0">
      <w:pPr>
        <w:pStyle w:val="BodyText"/>
      </w:pPr>
      <w:r w:rsidRPr="00A64052">
        <w:t xml:space="preserve">The </w:t>
      </w:r>
      <w:r w:rsidR="009542D1">
        <w:t xml:space="preserve">Planning </w:t>
      </w:r>
      <w:r w:rsidR="001A3329">
        <w:t>Scheme of Delegation</w:t>
      </w:r>
      <w:r w:rsidRPr="00A64052">
        <w:t xml:space="preserve"> sets out the circumstances when applications submitted by councillors and officers must be determined by </w:t>
      </w:r>
      <w:r>
        <w:t>C</w:t>
      </w:r>
      <w:r w:rsidRPr="00A64052">
        <w:t>ommittee.</w:t>
      </w:r>
    </w:p>
    <w:p w14:paraId="50150A2D" w14:textId="4D11D840" w:rsidR="00DA3EA2" w:rsidRDefault="000E24E0" w:rsidP="000E24E0">
      <w:pPr>
        <w:pStyle w:val="BodyText"/>
      </w:pPr>
      <w:r w:rsidRPr="00A64052">
        <w:t xml:space="preserve">The procedures to be followed in Committee </w:t>
      </w:r>
      <w:r w:rsidR="004E3D24">
        <w:t>when determining such applications</w:t>
      </w:r>
      <w:r w:rsidRPr="00A64052">
        <w:t xml:space="preserve"> are as follows: </w:t>
      </w:r>
    </w:p>
    <w:p w14:paraId="70F5BF72" w14:textId="79306163" w:rsidR="000E24E0" w:rsidRPr="00A64052" w:rsidRDefault="000E24E0" w:rsidP="00DA3EA2">
      <w:pPr>
        <w:pStyle w:val="ListBullet"/>
      </w:pPr>
      <w:r w:rsidRPr="00A64052">
        <w:t xml:space="preserve">The consideration in Committee of an application from a Councillor may be considered a Disclosable Pecuniary Interest for that Councillor and they will need to be mindful of their obligations in relation to Disclosable Pecuniary Interests as set out in the </w:t>
      </w:r>
      <w:r>
        <w:t>Code of Conduct for Members</w:t>
      </w:r>
      <w:r w:rsidRPr="00A64052">
        <w:t xml:space="preserve">. </w:t>
      </w:r>
    </w:p>
    <w:p w14:paraId="1EBE70C0" w14:textId="77777777" w:rsidR="000E24E0" w:rsidRPr="00A64052" w:rsidRDefault="000E24E0" w:rsidP="00DA3EA2">
      <w:pPr>
        <w:pStyle w:val="ListBullet"/>
      </w:pPr>
      <w:r w:rsidRPr="00A64052">
        <w:t xml:space="preserve">If such a Councillor does not have a Disclosable Pecuniary Interest, they may address the Committee as the applicant in accordance with the Council’s public speaking procedures. </w:t>
      </w:r>
    </w:p>
    <w:p w14:paraId="0AF844A7" w14:textId="77777777" w:rsidR="000E24E0" w:rsidRPr="00A64052" w:rsidRDefault="000E24E0" w:rsidP="00DA3EA2">
      <w:pPr>
        <w:pStyle w:val="ListBullet"/>
      </w:pPr>
      <w:r w:rsidRPr="00A64052">
        <w:t xml:space="preserve">If such a Councillor has a Disclosable Pecuniary Interest, they may not participate in the consideration of the matter and may therefore not speak on the matter. They would need to have a representative speak on their behalf, unless they have received a specific dispensation for this purpose from the Monitoring Officer. </w:t>
      </w:r>
    </w:p>
    <w:p w14:paraId="6D7807D0" w14:textId="33A78F21" w:rsidR="00DA3EA2" w:rsidRDefault="000E24E0" w:rsidP="00DA3EA2">
      <w:pPr>
        <w:pStyle w:val="ListBullet"/>
      </w:pPr>
      <w:r w:rsidRPr="00A64052">
        <w:t xml:space="preserve">The </w:t>
      </w:r>
      <w:r w:rsidR="009542D1">
        <w:t>[</w:t>
      </w:r>
      <w:r w:rsidR="009542D1" w:rsidRPr="008813B7">
        <w:rPr>
          <w:highlight w:val="lightGray"/>
        </w:rPr>
        <w:t>Planning Committee</w:t>
      </w:r>
      <w:r w:rsidR="009542D1">
        <w:t>]</w:t>
      </w:r>
      <w:r w:rsidRPr="00A64052">
        <w:t xml:space="preserve"> Councillor must consider whether the nature of any relationship means that they have a Disclosable Pecuniary Interest in relation to the matter and if so, they may not participate in the consideration of that matter. </w:t>
      </w:r>
    </w:p>
    <w:p w14:paraId="26405E64" w14:textId="77777777" w:rsidR="00DA3EA2" w:rsidRDefault="000E24E0" w:rsidP="000E24E0">
      <w:pPr>
        <w:pStyle w:val="BodyText"/>
      </w:pPr>
      <w:r w:rsidRPr="00A64052">
        <w:t>The principle in the final bullet point also applies to an application submitted by a member of staff when it is considered in Committee.</w:t>
      </w:r>
    </w:p>
    <w:p w14:paraId="26137AC9" w14:textId="36B528DA" w:rsidR="00DA3EA2" w:rsidRPr="00DA3EA2" w:rsidRDefault="000E24E0" w:rsidP="00E614C8">
      <w:pPr>
        <w:pStyle w:val="Heading1"/>
        <w:numPr>
          <w:ilvl w:val="0"/>
          <w:numId w:val="14"/>
        </w:numPr>
      </w:pPr>
      <w:bookmarkStart w:id="17" w:name="_Toc231316497"/>
      <w:r w:rsidRPr="00DA3EA2">
        <w:t xml:space="preserve">Lobbying </w:t>
      </w:r>
      <w:r w:rsidR="00706090" w:rsidRPr="00DA3EA2">
        <w:t xml:space="preserve">Of And By </w:t>
      </w:r>
      <w:r w:rsidRPr="00DA3EA2">
        <w:t>Councillors</w:t>
      </w:r>
      <w:bookmarkEnd w:id="17"/>
      <w:r w:rsidRPr="00DA3EA2">
        <w:t xml:space="preserve"> </w:t>
      </w:r>
    </w:p>
    <w:p w14:paraId="5153E28D" w14:textId="77777777" w:rsidR="00DA3EA2" w:rsidRDefault="000E24E0" w:rsidP="000E24E0">
      <w:pPr>
        <w:pStyle w:val="BodyText"/>
      </w:pPr>
      <w:r w:rsidRPr="00A64052">
        <w:t xml:space="preserve">Lobbying is a normal part of the planning process. Those who may be affected by a planning decision, whether through an application, enforcement action, a site allocation in a development plan or an emerging policy, will often seek to influence it through an approach to their Ward Councillor or to a Councillor sitting on a relevant committee. </w:t>
      </w:r>
    </w:p>
    <w:p w14:paraId="75DDC526" w14:textId="77777777" w:rsidR="00DA3EA2" w:rsidRDefault="000E24E0" w:rsidP="000E24E0">
      <w:pPr>
        <w:pStyle w:val="BodyText"/>
      </w:pPr>
      <w:r w:rsidRPr="00A64052">
        <w:t xml:space="preserve">As the Nolan Committee’s 1997 report stated: “It is essential for the proper operation of the planning system that local concerns are adequately ventilated. The most effective and suitable way that this can be done is through the local elected representatives, the Councillors themselves.” </w:t>
      </w:r>
    </w:p>
    <w:p w14:paraId="514CE169" w14:textId="77777777" w:rsidR="00DA3EA2" w:rsidRDefault="000E24E0" w:rsidP="000E24E0">
      <w:pPr>
        <w:pStyle w:val="BodyText"/>
      </w:pPr>
      <w:r w:rsidRPr="00A64052">
        <w:t xml:space="preserve">Lobbying, however, can lead to the impartiality and integrity of a Councillor being called into question, unless care and common sense are exercised by all the parties involved. </w:t>
      </w:r>
    </w:p>
    <w:p w14:paraId="340DC648" w14:textId="1D702B5D" w:rsidR="00DA3EA2" w:rsidRPr="00DA3EA2" w:rsidRDefault="000E24E0" w:rsidP="00DA3EA2">
      <w:pPr>
        <w:pStyle w:val="Heading2"/>
      </w:pPr>
      <w:bookmarkStart w:id="18" w:name="_Toc231316498"/>
      <w:r w:rsidRPr="00DA3EA2">
        <w:lastRenderedPageBreak/>
        <w:t xml:space="preserve">Lobbying </w:t>
      </w:r>
      <w:r w:rsidR="00706090" w:rsidRPr="00DA3EA2">
        <w:t xml:space="preserve">Of </w:t>
      </w:r>
      <w:r w:rsidR="00706090">
        <w:t>C</w:t>
      </w:r>
      <w:r w:rsidR="00706090" w:rsidRPr="00DA3EA2">
        <w:t>ouncillors</w:t>
      </w:r>
      <w:bookmarkEnd w:id="18"/>
    </w:p>
    <w:p w14:paraId="7E1F3FAA" w14:textId="7AF4422D" w:rsidR="00DA3EA2" w:rsidRDefault="000E24E0" w:rsidP="000E24E0">
      <w:pPr>
        <w:pStyle w:val="BodyText"/>
      </w:pPr>
      <w:r w:rsidRPr="00A64052">
        <w:t xml:space="preserve">A </w:t>
      </w:r>
      <w:r w:rsidR="009542D1">
        <w:t>[</w:t>
      </w:r>
      <w:r w:rsidR="009542D1" w:rsidRPr="002E7242">
        <w:rPr>
          <w:highlight w:val="lightGray"/>
        </w:rPr>
        <w:t>Planning Committee</w:t>
      </w:r>
      <w:r w:rsidR="009542D1">
        <w:t>]</w:t>
      </w:r>
      <w:r w:rsidRPr="00A64052">
        <w:t xml:space="preserve"> Councillor should explain to those lobbying or attempting to lobby them that, whilst they can listen to what is said, it may prejudice their impartiality and ability to participate in the Committee's decision making if they are asked to express either an intention to vote one way or another or such a firm point of view that it amounts to the same thing. </w:t>
      </w:r>
      <w:r w:rsidR="009542D1">
        <w:t>[</w:t>
      </w:r>
      <w:r w:rsidR="009542D1" w:rsidRPr="002E7242">
        <w:rPr>
          <w:highlight w:val="lightGray"/>
        </w:rPr>
        <w:t>Planning Committee</w:t>
      </w:r>
      <w:r w:rsidR="009542D1">
        <w:t>]</w:t>
      </w:r>
      <w:r w:rsidRPr="00A64052">
        <w:t xml:space="preserve"> Councillors </w:t>
      </w:r>
      <w:r w:rsidR="00BC4441">
        <w:t>must</w:t>
      </w:r>
      <w:r w:rsidRPr="00A64052">
        <w:t xml:space="preserve"> ensure that it is made clear to any lobbyists that they will only be able to reach a final decision on any planning matter after they have heard all the relevant arguments and looked at the relevant information during the sitting of the determining Committee. </w:t>
      </w:r>
    </w:p>
    <w:p w14:paraId="3B488EA8" w14:textId="13BCFC73" w:rsidR="000E24E0" w:rsidRPr="00A64052" w:rsidRDefault="009542D1" w:rsidP="000E24E0">
      <w:pPr>
        <w:pStyle w:val="BodyText"/>
      </w:pPr>
      <w:r>
        <w:t>[</w:t>
      </w:r>
      <w:r w:rsidRPr="002E7242">
        <w:rPr>
          <w:highlight w:val="lightGray"/>
        </w:rPr>
        <w:t>Planning Committee</w:t>
      </w:r>
      <w:r>
        <w:t>]</w:t>
      </w:r>
      <w:r w:rsidR="000E24E0" w:rsidRPr="00A64052">
        <w:t xml:space="preserve"> Councillors should therefore:</w:t>
      </w:r>
    </w:p>
    <w:p w14:paraId="699593BA" w14:textId="27D896CF" w:rsidR="000E24E0" w:rsidRPr="00A64052" w:rsidRDefault="000E24E0" w:rsidP="00DA3EA2">
      <w:pPr>
        <w:pStyle w:val="ListBullet"/>
      </w:pPr>
      <w:r w:rsidRPr="00A64052">
        <w:t xml:space="preserve">suggest to lobbyists that they write to the </w:t>
      </w:r>
      <w:r w:rsidR="007D61DA">
        <w:t>[</w:t>
      </w:r>
      <w:r w:rsidR="007D61DA" w:rsidRPr="00541958">
        <w:rPr>
          <w:highlight w:val="lightGray"/>
        </w:rPr>
        <w:t>Planning Service</w:t>
      </w:r>
      <w:r w:rsidR="007D61DA">
        <w:t>]</w:t>
      </w:r>
      <w:r w:rsidRPr="00A64052">
        <w:t xml:space="preserve"> in order that their views can be included in the officer report prepared for determination under delegated powers or by Committee; </w:t>
      </w:r>
    </w:p>
    <w:p w14:paraId="2A513877" w14:textId="000A4379" w:rsidR="000E24E0" w:rsidRPr="00A64052" w:rsidRDefault="000E24E0" w:rsidP="00DA3EA2">
      <w:pPr>
        <w:pStyle w:val="ListBullet"/>
      </w:pPr>
      <w:r w:rsidRPr="00A64052">
        <w:t xml:space="preserve">pass on any lobbying </w:t>
      </w:r>
      <w:r w:rsidR="0075636E">
        <w:t>material</w:t>
      </w:r>
      <w:r w:rsidRPr="00A64052">
        <w:t xml:space="preserve"> received (including correspondence</w:t>
      </w:r>
      <w:r>
        <w:t>,</w:t>
      </w:r>
      <w:r w:rsidRPr="00A64052">
        <w:t xml:space="preserve"> plans, data etc in respect of an application) to the </w:t>
      </w:r>
      <w:r w:rsidR="007D61DA">
        <w:t>[</w:t>
      </w:r>
      <w:r w:rsidR="007D61DA" w:rsidRPr="00541958">
        <w:rPr>
          <w:highlight w:val="lightGray"/>
        </w:rPr>
        <w:t>Planning Service</w:t>
      </w:r>
      <w:r w:rsidR="007D61DA">
        <w:t>]</w:t>
      </w:r>
      <w:r w:rsidRPr="00A64052">
        <w:t xml:space="preserve"> as soon as practicably possible so that it can be considered and included in the report on the application; </w:t>
      </w:r>
    </w:p>
    <w:p w14:paraId="08EFE44E" w14:textId="77777777" w:rsidR="000E24E0" w:rsidRPr="00A64052" w:rsidRDefault="000E24E0" w:rsidP="00DA3EA2">
      <w:pPr>
        <w:pStyle w:val="ListBullet"/>
      </w:pPr>
      <w:r w:rsidRPr="00A64052">
        <w:t>refer the matter to another ward councillor;</w:t>
      </w:r>
    </w:p>
    <w:p w14:paraId="76164B37" w14:textId="77777777" w:rsidR="000E24E0" w:rsidRPr="00A64052" w:rsidRDefault="000E24E0" w:rsidP="00DA3EA2">
      <w:pPr>
        <w:pStyle w:val="ListBullet"/>
      </w:pPr>
      <w:r w:rsidRPr="00A64052">
        <w:t xml:space="preserve">remember that their overriding duty is to the whole community not just to the residents and businesses within their ward and that they have a duty to make decisions impartially and should not improperly favour, or appear to improperly favour, any person, company, group or locality; </w:t>
      </w:r>
    </w:p>
    <w:p w14:paraId="505076BD" w14:textId="77777777" w:rsidR="000E24E0" w:rsidRPr="00A64052" w:rsidRDefault="000E24E0" w:rsidP="00DA3EA2">
      <w:pPr>
        <w:pStyle w:val="ListBullet"/>
      </w:pPr>
      <w:r w:rsidRPr="00A64052">
        <w:t xml:space="preserve">not accept gifts or hospitality from any person involved in or affected by a planning proposal, but if a degree of hospitality is unavoidable (eg, refreshments at a meeting), ensure that they comply with the provisions in the </w:t>
      </w:r>
      <w:r>
        <w:t>Code of Conduct for Members</w:t>
      </w:r>
      <w:r w:rsidRPr="00A64052">
        <w:t xml:space="preserve"> on gifts and hospitality; and</w:t>
      </w:r>
    </w:p>
    <w:p w14:paraId="236A09EE" w14:textId="77777777" w:rsidR="00DA3EA2" w:rsidRDefault="000E24E0" w:rsidP="00DA3EA2">
      <w:pPr>
        <w:pStyle w:val="ListBullet"/>
      </w:pPr>
      <w:r w:rsidRPr="00A64052">
        <w:t xml:space="preserve">inform the Monitoring Officer where they feel that they have been exposed to undue or excessive lobbying or approaches (including inappropriate offers of gifts or hospitality, including where they have been declined), who will in turn advise the appropriate officers to follow the matter up where necessary. </w:t>
      </w:r>
    </w:p>
    <w:p w14:paraId="611BA08B" w14:textId="72A71E36" w:rsidR="00DA3EA2" w:rsidRDefault="009542D1" w:rsidP="000E24E0">
      <w:pPr>
        <w:pStyle w:val="BodyText"/>
      </w:pPr>
      <w:r>
        <w:t>[</w:t>
      </w:r>
      <w:r w:rsidRPr="002E7242">
        <w:rPr>
          <w:highlight w:val="lightGray"/>
        </w:rPr>
        <w:t>Planning Committee</w:t>
      </w:r>
      <w:r>
        <w:t>]</w:t>
      </w:r>
      <w:r w:rsidR="000E24E0" w:rsidRPr="00A64052">
        <w:t xml:space="preserve"> Councillors should note that, subject to the requirements to ensure that they comply with the </w:t>
      </w:r>
      <w:r w:rsidR="000E24E0">
        <w:t>Code of Conduct for Members</w:t>
      </w:r>
      <w:r w:rsidR="000E24E0" w:rsidRPr="00A64052">
        <w:t xml:space="preserve"> and the rules regarding bias and pre-determination and ensure that they take appropriate action in relation to Disclosable Pecuniary Interests, they are not precluded from: </w:t>
      </w:r>
    </w:p>
    <w:p w14:paraId="0D06BAEF" w14:textId="21C36C3A" w:rsidR="000E24E0" w:rsidRPr="00A64052" w:rsidRDefault="000E24E0" w:rsidP="008359B4">
      <w:pPr>
        <w:pStyle w:val="ListBullet"/>
      </w:pPr>
      <w:r w:rsidRPr="00A64052">
        <w:t xml:space="preserve">listening or receiving viewpoints from residents or other interested parties; </w:t>
      </w:r>
    </w:p>
    <w:p w14:paraId="563E2776" w14:textId="77777777" w:rsidR="000E24E0" w:rsidRPr="00A64052" w:rsidRDefault="000E24E0" w:rsidP="008359B4">
      <w:pPr>
        <w:pStyle w:val="ListBullet"/>
      </w:pPr>
      <w:r w:rsidRPr="00A64052">
        <w:t xml:space="preserve">making comments to residents, interested parties, other Councillors or appropriate officers, provided they do not consist of or amount to predetermination and they make clear they are keeping an open mind; </w:t>
      </w:r>
    </w:p>
    <w:p w14:paraId="297CB306" w14:textId="4722BCF0" w:rsidR="000E24E0" w:rsidRPr="00A64052" w:rsidRDefault="000E24E0" w:rsidP="008359B4">
      <w:pPr>
        <w:pStyle w:val="ListBullet"/>
      </w:pPr>
      <w:r w:rsidRPr="00A64052">
        <w:t xml:space="preserve">seeking information through appropriate channels, which generally would be officers in the </w:t>
      </w:r>
      <w:r w:rsidR="007D61DA">
        <w:t>[</w:t>
      </w:r>
      <w:r w:rsidR="007D61DA" w:rsidRPr="002E7242">
        <w:rPr>
          <w:highlight w:val="lightGray"/>
        </w:rPr>
        <w:t>Planning Service</w:t>
      </w:r>
      <w:r w:rsidR="007D61DA">
        <w:t>]</w:t>
      </w:r>
      <w:r w:rsidRPr="00A64052">
        <w:t xml:space="preserve">; or </w:t>
      </w:r>
    </w:p>
    <w:p w14:paraId="04463004" w14:textId="77777777" w:rsidR="00DA3EA2" w:rsidRDefault="000E24E0" w:rsidP="008359B4">
      <w:pPr>
        <w:pStyle w:val="ListBullet"/>
      </w:pPr>
      <w:r w:rsidRPr="00A64052">
        <w:t xml:space="preserve">being a vehicle for the expression of opinion or speaking at the meeting as a Ward Councillor, provided they explain their actions at the start of the meeting or item and make it clear that, having expressed the opinion or ward/local view, they have not committed themselves to vote in accordance </w:t>
      </w:r>
      <w:r w:rsidRPr="00A64052">
        <w:lastRenderedPageBreak/>
        <w:t xml:space="preserve">with those views and will make up their own mind having heard all the facts and listened to the debate. </w:t>
      </w:r>
    </w:p>
    <w:p w14:paraId="51A61CE9" w14:textId="56A8E41F" w:rsidR="00DA3EA2" w:rsidRDefault="000E24E0" w:rsidP="000E24E0">
      <w:pPr>
        <w:pStyle w:val="BodyText"/>
      </w:pPr>
      <w:r w:rsidRPr="00A64052">
        <w:t xml:space="preserve">In the interest of openness and transparency, </w:t>
      </w:r>
      <w:r w:rsidR="009542D1">
        <w:t>[</w:t>
      </w:r>
      <w:r w:rsidR="009542D1" w:rsidRPr="002E7242">
        <w:rPr>
          <w:highlight w:val="lightGray"/>
        </w:rPr>
        <w:t>Planning Committee</w:t>
      </w:r>
      <w:r w:rsidR="009542D1">
        <w:t>]</w:t>
      </w:r>
      <w:r w:rsidRPr="00A64052">
        <w:t xml:space="preserve"> Councillors should declare </w:t>
      </w:r>
      <w:r w:rsidR="00B010B1">
        <w:t xml:space="preserve">at the meeting </w:t>
      </w:r>
      <w:r w:rsidRPr="00A64052">
        <w:t xml:space="preserve">any lobbying to which they have been subject. </w:t>
      </w:r>
    </w:p>
    <w:p w14:paraId="14A4171B" w14:textId="77777777" w:rsidR="00DA3EA2" w:rsidRDefault="000E24E0" w:rsidP="000E24E0">
      <w:pPr>
        <w:pStyle w:val="BodyText"/>
      </w:pPr>
      <w:r w:rsidRPr="00A64052">
        <w:t>It is very difficult to convey every nuance of these situations and to get the balance right between the duty to be an active local representative and the requirement when taking decisions on planning matters to take account of all arguments in an open-minded way. It cannot be stressed too strongly, however, that the striking of this balance is, ultimately, the responsibility of the individual Councillor.</w:t>
      </w:r>
    </w:p>
    <w:p w14:paraId="2836D0D4" w14:textId="1433956A" w:rsidR="00DA3EA2" w:rsidRPr="00DA3EA2" w:rsidRDefault="000E24E0" w:rsidP="00DA3EA2">
      <w:pPr>
        <w:pStyle w:val="Heading2"/>
      </w:pPr>
      <w:bookmarkStart w:id="19" w:name="_Toc231316499"/>
      <w:r w:rsidRPr="00DA3EA2">
        <w:t xml:space="preserve">Lobbying </w:t>
      </w:r>
      <w:r w:rsidR="00706090" w:rsidRPr="00DA3EA2">
        <w:t xml:space="preserve">By </w:t>
      </w:r>
      <w:r w:rsidR="00706090">
        <w:t>C</w:t>
      </w:r>
      <w:r w:rsidR="00706090" w:rsidRPr="00DA3EA2">
        <w:t>ouncillors</w:t>
      </w:r>
      <w:bookmarkEnd w:id="19"/>
      <w:r w:rsidR="00706090" w:rsidRPr="00DA3EA2">
        <w:t xml:space="preserve"> </w:t>
      </w:r>
    </w:p>
    <w:p w14:paraId="690072D1" w14:textId="0A8006DF" w:rsidR="00DA3EA2" w:rsidRDefault="009542D1" w:rsidP="000E24E0">
      <w:pPr>
        <w:pStyle w:val="BodyText"/>
      </w:pPr>
      <w:r>
        <w:t>[</w:t>
      </w:r>
      <w:r w:rsidRPr="002E7242">
        <w:rPr>
          <w:highlight w:val="lightGray"/>
        </w:rPr>
        <w:t>Planning Committee</w:t>
      </w:r>
      <w:r>
        <w:t>]</w:t>
      </w:r>
      <w:r w:rsidR="000E24E0" w:rsidRPr="00A64052">
        <w:t xml:space="preserve"> Councillors should not become a member of, lead or represent a national or local organisation </w:t>
      </w:r>
      <w:r w:rsidR="000E24E0">
        <w:t xml:space="preserve">that regularly </w:t>
      </w:r>
      <w:r w:rsidR="000E24E0" w:rsidRPr="00A64052">
        <w:t>lobbi</w:t>
      </w:r>
      <w:r w:rsidR="000E24E0">
        <w:t xml:space="preserve">es </w:t>
      </w:r>
      <w:r w:rsidR="000E24E0" w:rsidRPr="00A64052">
        <w:t>to promote or oppose planning proposals. If a Councillor does, they may appear to be biased. Whilst they may be able to address the Committee as a Ward Councillor or an objector, they are not able to participate or vote on any matter in respect of which they have such an interest, unless they have received a specific dispensation for this purpose from the Monitoring Officer.</w:t>
      </w:r>
    </w:p>
    <w:p w14:paraId="6D3BF013" w14:textId="3712D158" w:rsidR="00DA3EA2" w:rsidRDefault="009542D1" w:rsidP="000E24E0">
      <w:pPr>
        <w:pStyle w:val="BodyText"/>
      </w:pPr>
      <w:r>
        <w:t>[</w:t>
      </w:r>
      <w:r w:rsidRPr="002E7242">
        <w:rPr>
          <w:highlight w:val="lightGray"/>
        </w:rPr>
        <w:t>Planning Committee</w:t>
      </w:r>
      <w:r>
        <w:t>]</w:t>
      </w:r>
      <w:r w:rsidR="000E24E0" w:rsidRPr="00A64052">
        <w:t xml:space="preserve"> Councillors can join general groups which reflect their areas of interest, and which concentrate on issues beyond </w:t>
      </w:r>
      <w:proofErr w:type="gramStart"/>
      <w:r w:rsidR="000E24E0" w:rsidRPr="00A64052">
        <w:t>particular planning</w:t>
      </w:r>
      <w:proofErr w:type="gramEnd"/>
      <w:r w:rsidR="000E24E0" w:rsidRPr="00A64052">
        <w:t xml:space="preserve"> proposals, but they should disclose a personal interest and consider whether that also amounts to a pecuniary interest where that organisation has made representations on a particular proposal</w:t>
      </w:r>
      <w:r w:rsidR="000E24E0">
        <w:t xml:space="preserve"> or other planning matter</w:t>
      </w:r>
      <w:r w:rsidR="000E24E0" w:rsidRPr="00A64052">
        <w:t xml:space="preserve">. Where a </w:t>
      </w:r>
      <w:r>
        <w:t>[</w:t>
      </w:r>
      <w:r w:rsidRPr="002E7242">
        <w:rPr>
          <w:highlight w:val="lightGray"/>
        </w:rPr>
        <w:t>Planning Committee</w:t>
      </w:r>
      <w:r>
        <w:t>]</w:t>
      </w:r>
      <w:r w:rsidR="000E24E0" w:rsidRPr="00A64052">
        <w:t xml:space="preserve"> Councillor </w:t>
      </w:r>
      <w:proofErr w:type="gramStart"/>
      <w:r w:rsidR="000E24E0" w:rsidRPr="00A64052">
        <w:t>is able to</w:t>
      </w:r>
      <w:proofErr w:type="gramEnd"/>
      <w:r w:rsidR="000E24E0" w:rsidRPr="00A64052">
        <w:t xml:space="preserve"> participate, they should make it clear to that organisation and the Committee that they have reserved judgement and the independence to make up their own mind on each separate proposal. </w:t>
      </w:r>
    </w:p>
    <w:p w14:paraId="1110E968" w14:textId="5DFF636D" w:rsidR="00DA3EA2" w:rsidRDefault="000E24E0" w:rsidP="000E24E0">
      <w:pPr>
        <w:pStyle w:val="BodyText"/>
      </w:pPr>
      <w:r w:rsidRPr="00A64052">
        <w:t xml:space="preserve">Councillors should not excessively lobby </w:t>
      </w:r>
      <w:r w:rsidR="009542D1">
        <w:t>[</w:t>
      </w:r>
      <w:r w:rsidR="009542D1" w:rsidRPr="002E7242">
        <w:rPr>
          <w:highlight w:val="lightGray"/>
        </w:rPr>
        <w:t>Planning Committee</w:t>
      </w:r>
      <w:r w:rsidR="009542D1">
        <w:t>]</w:t>
      </w:r>
      <w:r w:rsidRPr="00A64052">
        <w:t xml:space="preserve"> Councillors regarding their concerns or views on a planning application, nor attempt to persuade them that they should decide how to vote in advance of the meeting at which any planning decision is to be taken. </w:t>
      </w:r>
    </w:p>
    <w:p w14:paraId="536FCEFD" w14:textId="27EECDB8" w:rsidR="00DA3EA2" w:rsidRDefault="000E24E0" w:rsidP="000E24E0">
      <w:pPr>
        <w:pStyle w:val="BodyText"/>
      </w:pPr>
      <w:r w:rsidRPr="00A64052">
        <w:t xml:space="preserve">Councillors should not put pressure on officers for a particular recommendation or decision, and should not do anything which compromises, is likely to compromise, or could be seen as compromising </w:t>
      </w:r>
      <w:r w:rsidR="004228D0">
        <w:t>an</w:t>
      </w:r>
      <w:r w:rsidRPr="00A64052">
        <w:t xml:space="preserve"> officer</w:t>
      </w:r>
      <w:r w:rsidR="004228D0">
        <w:t>’</w:t>
      </w:r>
      <w:r w:rsidRPr="00A64052">
        <w:t xml:space="preserve">s impartiality or professional integrity. Nor should they request officers to speed up or delay the determination or assessment of an application for their own personal or political convenience or following lobbying by applicants, agents/advisers, </w:t>
      </w:r>
      <w:proofErr w:type="gramStart"/>
      <w:r w:rsidRPr="00A64052">
        <w:t>local residents</w:t>
      </w:r>
      <w:proofErr w:type="gramEnd"/>
      <w:r w:rsidRPr="00A64052">
        <w:t xml:space="preserve"> or other interested parties.</w:t>
      </w:r>
    </w:p>
    <w:p w14:paraId="4E88303F" w14:textId="6645920D" w:rsidR="00DA3EA2" w:rsidRDefault="009542D1" w:rsidP="000E24E0">
      <w:pPr>
        <w:pStyle w:val="BodyText"/>
      </w:pPr>
      <w:r>
        <w:t>[</w:t>
      </w:r>
      <w:r w:rsidRPr="002E7242">
        <w:rPr>
          <w:highlight w:val="lightGray"/>
        </w:rPr>
        <w:t>Planning Committee</w:t>
      </w:r>
      <w:r>
        <w:t>]</w:t>
      </w:r>
      <w:r w:rsidR="000E24E0" w:rsidRPr="00A64052">
        <w:t xml:space="preserve"> Councillors should not decide or discuss how to vote on any application at any sort of political group meeting or lobby any other </w:t>
      </w:r>
      <w:r>
        <w:t>[</w:t>
      </w:r>
      <w:r w:rsidRPr="002E7242">
        <w:rPr>
          <w:highlight w:val="lightGray"/>
        </w:rPr>
        <w:t>Planning Committee</w:t>
      </w:r>
      <w:r>
        <w:t>]</w:t>
      </w:r>
      <w:r w:rsidR="000E24E0" w:rsidRPr="00A64052">
        <w:t xml:space="preserve"> Councillor to do so. </w:t>
      </w:r>
    </w:p>
    <w:p w14:paraId="4310CE45" w14:textId="77777777" w:rsidR="00DA3EA2" w:rsidRDefault="000E24E0" w:rsidP="000E24E0">
      <w:pPr>
        <w:pStyle w:val="BodyText"/>
      </w:pPr>
      <w:r w:rsidRPr="00A64052">
        <w:t>As previously outlined, Councillors must always be mindful of their responsibilities and duties under their Code of Conduct. These responsibilities and duties apply equally to matters of lobbying as they do to the other issues of probity explored elsewhere in this Code.</w:t>
      </w:r>
    </w:p>
    <w:p w14:paraId="371DCB93" w14:textId="77777777" w:rsidR="00DA3EA2" w:rsidRPr="00DA3EA2" w:rsidRDefault="000E24E0" w:rsidP="00E614C8">
      <w:pPr>
        <w:pStyle w:val="Heading1"/>
        <w:numPr>
          <w:ilvl w:val="0"/>
          <w:numId w:val="14"/>
        </w:numPr>
      </w:pPr>
      <w:bookmarkStart w:id="20" w:name="_Toc231316500"/>
      <w:r w:rsidRPr="00DA3EA2">
        <w:lastRenderedPageBreak/>
        <w:t>Pre-Application Discussions</w:t>
      </w:r>
      <w:bookmarkEnd w:id="20"/>
      <w:r w:rsidRPr="00DA3EA2">
        <w:t xml:space="preserve"> </w:t>
      </w:r>
    </w:p>
    <w:p w14:paraId="5419F2EC" w14:textId="28A6964B" w:rsidR="00E106FA" w:rsidRDefault="00E106FA" w:rsidP="00E106FA">
      <w:pPr>
        <w:pStyle w:val="BodyText"/>
        <w:numPr>
          <w:ilvl w:val="0"/>
          <w:numId w:val="0"/>
        </w:numPr>
      </w:pPr>
      <w:r>
        <w:t>[</w:t>
      </w:r>
      <w:r w:rsidRPr="002E7242">
        <w:rPr>
          <w:highlight w:val="lightGray"/>
        </w:rPr>
        <w:t xml:space="preserve">NOTE: This section will need to be edited depending on a Council’s practice around member’s involvement in the pre-application process. The drafting is based on the POS advice </w:t>
      </w:r>
      <w:r w:rsidR="00E668D6" w:rsidRPr="002E7242">
        <w:rPr>
          <w:highlight w:val="lightGray"/>
        </w:rPr>
        <w:t xml:space="preserve">to present </w:t>
      </w:r>
      <w:r w:rsidR="005C4555">
        <w:rPr>
          <w:highlight w:val="lightGray"/>
        </w:rPr>
        <w:t xml:space="preserve">strategic </w:t>
      </w:r>
      <w:r w:rsidR="00E668D6" w:rsidRPr="002E7242">
        <w:rPr>
          <w:highlight w:val="lightGray"/>
        </w:rPr>
        <w:t>development proposals to Planning Committee at the pre-application stage</w:t>
      </w:r>
      <w:r w:rsidRPr="002E7242">
        <w:rPr>
          <w:highlight w:val="lightGray"/>
        </w:rPr>
        <w:t>.</w:t>
      </w:r>
      <w:r>
        <w:t>]</w:t>
      </w:r>
    </w:p>
    <w:p w14:paraId="047104E9" w14:textId="77777777" w:rsidR="00DA3EA2" w:rsidRDefault="000E24E0" w:rsidP="000E24E0">
      <w:pPr>
        <w:pStyle w:val="BodyText"/>
      </w:pPr>
      <w:r w:rsidRPr="00A64052">
        <w:t xml:space="preserve">Discussions between a potential applicant and the Council prior to the submission of an application can be of considerable benefit to both parties and are encouraged by the National Planning Policy Framework. However, it would be easy for such discussions to become, or to be seen by objectors to become, part of a lobbying process on the part of the potential applicant. For this reason, the Council have developed a pre-application process that enables engagement at the pre-application stage. </w:t>
      </w:r>
    </w:p>
    <w:p w14:paraId="06013548" w14:textId="6877B5BB" w:rsidR="00DA3EA2" w:rsidRDefault="000E24E0" w:rsidP="000E24E0">
      <w:pPr>
        <w:pStyle w:val="BodyText"/>
      </w:pPr>
      <w:r w:rsidRPr="00A64052">
        <w:t xml:space="preserve">For major strategic applications, the Council offers a service to potential applicants, which includes presenting their schemes to the Council’s </w:t>
      </w:r>
      <w:r w:rsidR="009542D1">
        <w:t>[</w:t>
      </w:r>
      <w:r w:rsidR="009542D1" w:rsidRPr="002E7242">
        <w:rPr>
          <w:highlight w:val="lightGray"/>
        </w:rPr>
        <w:t>Planning Committee</w:t>
      </w:r>
      <w:r w:rsidR="009542D1">
        <w:t>]</w:t>
      </w:r>
      <w:r w:rsidRPr="00A64052">
        <w:t xml:space="preserve">. Details of this are set out in the </w:t>
      </w:r>
      <w:r w:rsidR="009542D1">
        <w:t>[</w:t>
      </w:r>
      <w:r w:rsidR="009542D1" w:rsidRPr="002E7242">
        <w:rPr>
          <w:highlight w:val="lightGray"/>
        </w:rPr>
        <w:t>Planning Committee</w:t>
      </w:r>
      <w:r w:rsidR="00DC5125">
        <w:t>]</w:t>
      </w:r>
      <w:r w:rsidRPr="00A64052">
        <w:t xml:space="preserve"> </w:t>
      </w:r>
      <w:r w:rsidR="00367C7E">
        <w:t>Procedures</w:t>
      </w:r>
      <w:r w:rsidRPr="00A64052">
        <w:t xml:space="preserve">. This is the way in which </w:t>
      </w:r>
      <w:r w:rsidR="009542D1">
        <w:t>[</w:t>
      </w:r>
      <w:r w:rsidR="009542D1" w:rsidRPr="002E7242">
        <w:rPr>
          <w:highlight w:val="lightGray"/>
        </w:rPr>
        <w:t>Planning Committee</w:t>
      </w:r>
      <w:r w:rsidR="009542D1">
        <w:t>]</w:t>
      </w:r>
      <w:r w:rsidRPr="00A64052">
        <w:t xml:space="preserve"> Councillors engage with these schemes and there should therefore be no need to attend any other meetings with potential applicants or their agents/representatives.</w:t>
      </w:r>
    </w:p>
    <w:p w14:paraId="5E44CD32" w14:textId="18EB96F5" w:rsidR="00DA3EA2" w:rsidRDefault="000E24E0" w:rsidP="000E24E0">
      <w:pPr>
        <w:pStyle w:val="BodyText"/>
      </w:pPr>
      <w:r w:rsidRPr="00A64052">
        <w:t xml:space="preserve">For other application types, potential applicants may seek to meet </w:t>
      </w:r>
      <w:r w:rsidR="009542D1">
        <w:t>[</w:t>
      </w:r>
      <w:r w:rsidR="009542D1" w:rsidRPr="002E7242">
        <w:rPr>
          <w:highlight w:val="lightGray"/>
        </w:rPr>
        <w:t>Planning Committee</w:t>
      </w:r>
      <w:r w:rsidR="009542D1">
        <w:t>]</w:t>
      </w:r>
      <w:r w:rsidRPr="00A64052">
        <w:t xml:space="preserve"> Councillors. For minor or household applications, these can be treated as a form of lobbying and Councillors, including </w:t>
      </w:r>
      <w:r w:rsidR="009542D1">
        <w:t>[</w:t>
      </w:r>
      <w:r w:rsidR="009542D1" w:rsidRPr="002E7242">
        <w:rPr>
          <w:highlight w:val="lightGray"/>
        </w:rPr>
        <w:t>Planning Committee</w:t>
      </w:r>
      <w:r w:rsidR="009542D1">
        <w:t>]</w:t>
      </w:r>
      <w:r w:rsidRPr="00A64052">
        <w:t xml:space="preserve"> Councillors, should follow the advice on lobbying set out above. </w:t>
      </w:r>
    </w:p>
    <w:p w14:paraId="59BE85E1" w14:textId="77777777" w:rsidR="00DA3EA2" w:rsidRDefault="000E24E0" w:rsidP="000E24E0">
      <w:pPr>
        <w:pStyle w:val="BodyText"/>
      </w:pPr>
      <w:r w:rsidRPr="00A64052">
        <w:t xml:space="preserve">Where an application is more substantial, but not subject to a pre-application committee presentation, these meetings will be subject to the following procedures: </w:t>
      </w:r>
    </w:p>
    <w:p w14:paraId="327C966B" w14:textId="3E2E9E32" w:rsidR="000E24E0" w:rsidRPr="00A64052" w:rsidRDefault="000E24E0" w:rsidP="008359B4">
      <w:pPr>
        <w:pStyle w:val="ListBullet"/>
      </w:pPr>
      <w:r w:rsidRPr="00A64052">
        <w:t xml:space="preserve">No meeting involving </w:t>
      </w:r>
      <w:r w:rsidR="009542D1">
        <w:t>[</w:t>
      </w:r>
      <w:r w:rsidR="009542D1" w:rsidRPr="002E7242">
        <w:rPr>
          <w:highlight w:val="lightGray"/>
        </w:rPr>
        <w:t>Planning Committee</w:t>
      </w:r>
      <w:r w:rsidR="009542D1">
        <w:t>]</w:t>
      </w:r>
      <w:r w:rsidRPr="00A64052">
        <w:t xml:space="preserve"> Councillors shall be convened without the presence of a Council planning officer for the entire duration of the meeting. </w:t>
      </w:r>
    </w:p>
    <w:p w14:paraId="70A354CB" w14:textId="77777777" w:rsidR="000E24E0" w:rsidRPr="00A64052" w:rsidRDefault="000E24E0" w:rsidP="008359B4">
      <w:pPr>
        <w:pStyle w:val="ListBullet"/>
      </w:pPr>
      <w:r w:rsidRPr="00A64052">
        <w:t>Understand that such meetings will attract a fee and make sure the applicant understands this.</w:t>
      </w:r>
    </w:p>
    <w:p w14:paraId="44F8EC5A" w14:textId="77777777" w:rsidR="000E24E0" w:rsidRPr="00A64052" w:rsidRDefault="000E24E0" w:rsidP="008359B4">
      <w:pPr>
        <w:pStyle w:val="ListBullet"/>
      </w:pPr>
      <w:r w:rsidRPr="00A64052">
        <w:t xml:space="preserve">Both this Code and the </w:t>
      </w:r>
      <w:r>
        <w:t>Code of Conduct for Members</w:t>
      </w:r>
      <w:r w:rsidRPr="00A64052">
        <w:t xml:space="preserve"> will apply when attending such meetings. </w:t>
      </w:r>
    </w:p>
    <w:p w14:paraId="1C90153C" w14:textId="1593001B" w:rsidR="000E24E0" w:rsidRPr="00A64052" w:rsidRDefault="000E24E0" w:rsidP="008359B4">
      <w:pPr>
        <w:pStyle w:val="ListBullet"/>
      </w:pPr>
      <w:r w:rsidRPr="00A64052">
        <w:t xml:space="preserve">Any </w:t>
      </w:r>
      <w:r w:rsidR="009542D1">
        <w:t>[</w:t>
      </w:r>
      <w:r w:rsidR="009542D1" w:rsidRPr="002E7242">
        <w:rPr>
          <w:highlight w:val="lightGray"/>
        </w:rPr>
        <w:t>Planning Committee</w:t>
      </w:r>
      <w:r w:rsidR="009542D1">
        <w:t>]</w:t>
      </w:r>
      <w:r w:rsidRPr="00A64052">
        <w:t xml:space="preserve"> Councillor involved in such a meeting, who sits on the Committee that subsequently considers any resulting application, should declare their attendance at the meeting in the same way as lobbying would be declared. </w:t>
      </w:r>
    </w:p>
    <w:p w14:paraId="5E8B5EC9" w14:textId="77777777" w:rsidR="000E24E0" w:rsidRPr="00A64052" w:rsidRDefault="000E24E0" w:rsidP="008359B4">
      <w:pPr>
        <w:pStyle w:val="ListBullet"/>
      </w:pPr>
      <w:r w:rsidRPr="00A64052">
        <w:t xml:space="preserve">Officers (and any Councillor, if present) should make it clear from the outset that the discussion will not bind the Council to making a particular decision and that any views expressed are personal and provisional. </w:t>
      </w:r>
    </w:p>
    <w:p w14:paraId="23C02382" w14:textId="77777777" w:rsidR="000E24E0" w:rsidRPr="00A64052" w:rsidRDefault="000E24E0" w:rsidP="008359B4">
      <w:pPr>
        <w:pStyle w:val="ListBullet"/>
      </w:pPr>
      <w:r w:rsidRPr="00A64052">
        <w:t xml:space="preserve">Any advice given should be consistent and in accordance with the Development Plan and officers should agree, prior to any meeting, on a consistent interpretation of Development Plan policies as applied to the </w:t>
      </w:r>
      <w:proofErr w:type="gramStart"/>
      <w:r w:rsidRPr="00A64052">
        <w:t>particular proposal</w:t>
      </w:r>
      <w:proofErr w:type="gramEnd"/>
      <w:r w:rsidRPr="00A64052">
        <w:t xml:space="preserve">. </w:t>
      </w:r>
    </w:p>
    <w:p w14:paraId="1D1EE794" w14:textId="77777777" w:rsidR="000E24E0" w:rsidRPr="00A64052" w:rsidRDefault="000E24E0" w:rsidP="008359B4">
      <w:pPr>
        <w:pStyle w:val="ListBullet"/>
      </w:pPr>
      <w:r w:rsidRPr="00A64052">
        <w:t xml:space="preserve">Councillors should not become drawn into any negotiations, which should be done by officers to ensure that the authority’s position is co-ordinated. </w:t>
      </w:r>
    </w:p>
    <w:p w14:paraId="45A6D8D4" w14:textId="77777777" w:rsidR="000E24E0" w:rsidRPr="00A64052" w:rsidRDefault="000E24E0" w:rsidP="008359B4">
      <w:pPr>
        <w:pStyle w:val="ListBullet"/>
      </w:pPr>
      <w:r w:rsidRPr="00A64052">
        <w:lastRenderedPageBreak/>
        <w:t xml:space="preserve">A contemporaneous note of the meeting should be prepared by the planning officer attending and a copy sent to all parties for their comments on accuracy. </w:t>
      </w:r>
    </w:p>
    <w:p w14:paraId="57EFA1AE" w14:textId="77777777" w:rsidR="00DA3EA2" w:rsidRDefault="000E24E0" w:rsidP="008359B4">
      <w:pPr>
        <w:pStyle w:val="ListBullet"/>
      </w:pPr>
      <w:r w:rsidRPr="00A64052">
        <w:t xml:space="preserve">The final version of the note of the meeting will be placed on the planning file and should a planning application subsequently be received, it will thereby be open to public inspection. </w:t>
      </w:r>
    </w:p>
    <w:p w14:paraId="1AB890EE" w14:textId="77777777" w:rsidR="00DA3EA2" w:rsidRDefault="000E24E0" w:rsidP="000E24E0">
      <w:pPr>
        <w:pStyle w:val="BodyText"/>
      </w:pPr>
      <w:r w:rsidRPr="00A64052">
        <w:t>Councillors should not seek to arrange meetings that would circumvent the Council’s normal pre-application procedures, including the need to charge applicants for such meetings.</w:t>
      </w:r>
    </w:p>
    <w:p w14:paraId="3EA96AB2" w14:textId="6802B660" w:rsidR="00DA3EA2" w:rsidRPr="005922C9" w:rsidRDefault="009542D1" w:rsidP="000E24E0">
      <w:pPr>
        <w:pStyle w:val="BodyText"/>
      </w:pPr>
      <w:r w:rsidRPr="005922C9">
        <w:t>[</w:t>
      </w:r>
      <w:r w:rsidRPr="005922C9">
        <w:rPr>
          <w:highlight w:val="lightGray"/>
        </w:rPr>
        <w:t>Planning Committee</w:t>
      </w:r>
      <w:r w:rsidRPr="005922C9">
        <w:t>]</w:t>
      </w:r>
      <w:r w:rsidR="000E24E0" w:rsidRPr="005922C9">
        <w:t xml:space="preserve"> Councillors should not attend pre-application meetings that are not organised through officers. </w:t>
      </w:r>
    </w:p>
    <w:p w14:paraId="73E2DC30" w14:textId="77777777" w:rsidR="00DA3EA2" w:rsidRPr="00DA3EA2" w:rsidRDefault="000E24E0" w:rsidP="00E614C8">
      <w:pPr>
        <w:pStyle w:val="Heading1"/>
        <w:numPr>
          <w:ilvl w:val="0"/>
          <w:numId w:val="14"/>
        </w:numPr>
      </w:pPr>
      <w:bookmarkStart w:id="21" w:name="_Toc231316501"/>
      <w:r w:rsidRPr="00DA3EA2">
        <w:t>Post-Submission Discussions</w:t>
      </w:r>
      <w:bookmarkEnd w:id="21"/>
      <w:r w:rsidRPr="00DA3EA2">
        <w:t xml:space="preserve"> </w:t>
      </w:r>
    </w:p>
    <w:p w14:paraId="33D31971" w14:textId="7409696D" w:rsidR="00DA3EA2" w:rsidRDefault="000E24E0" w:rsidP="000E24E0">
      <w:pPr>
        <w:pStyle w:val="BodyText"/>
      </w:pPr>
      <w:r w:rsidRPr="00A64052">
        <w:t xml:space="preserve">A </w:t>
      </w:r>
      <w:r w:rsidR="009542D1">
        <w:t>[</w:t>
      </w:r>
      <w:r w:rsidR="009542D1" w:rsidRPr="002E7242">
        <w:rPr>
          <w:highlight w:val="lightGray"/>
        </w:rPr>
        <w:t>Planning Committee</w:t>
      </w:r>
      <w:r w:rsidR="009542D1">
        <w:t>]</w:t>
      </w:r>
      <w:r w:rsidRPr="00A64052">
        <w:t xml:space="preserve"> Councillor should not usually be involved in discussions with a developer or agent when a planning application has been submitted and remains to be determined. Potentially, these discussions could be interpreted, particularly by objectors to a proposal, as an indicator of predetermination or bias. </w:t>
      </w:r>
    </w:p>
    <w:p w14:paraId="08BDBD9E" w14:textId="3A0C58EC" w:rsidR="00DA3EA2" w:rsidRDefault="000E24E0" w:rsidP="000E24E0">
      <w:pPr>
        <w:pStyle w:val="BodyText"/>
      </w:pPr>
      <w:r w:rsidRPr="00204F4F">
        <w:t xml:space="preserve">There are limited circumstances when </w:t>
      </w:r>
      <w:r w:rsidR="009542D1">
        <w:t>[</w:t>
      </w:r>
      <w:r w:rsidR="009542D1" w:rsidRPr="002E7242">
        <w:rPr>
          <w:highlight w:val="lightGray"/>
        </w:rPr>
        <w:t>Planning Committee</w:t>
      </w:r>
      <w:r w:rsidR="009542D1">
        <w:t>]</w:t>
      </w:r>
      <w:r w:rsidRPr="00204F4F">
        <w:t xml:space="preserve"> Councillors may legitimately engage in post-submission discussions. An example would be in the case of a very large-scale development, where it is desirable for there to be a full understanding of the Council’s planning and economic objectives. Such meetings will be organised by officers as a Technical Briefing and run under the procedures set out in the </w:t>
      </w:r>
      <w:r w:rsidR="009542D1">
        <w:t>[</w:t>
      </w:r>
      <w:r w:rsidR="009542D1" w:rsidRPr="00541958">
        <w:rPr>
          <w:highlight w:val="lightGray"/>
        </w:rPr>
        <w:t>Planning Committee</w:t>
      </w:r>
      <w:r w:rsidR="00DC5125">
        <w:t>]</w:t>
      </w:r>
      <w:r w:rsidRPr="00204F4F">
        <w:t xml:space="preserve"> </w:t>
      </w:r>
      <w:r w:rsidR="0022406C">
        <w:t>Procedures</w:t>
      </w:r>
      <w:r w:rsidRPr="00204F4F">
        <w:t>.</w:t>
      </w:r>
    </w:p>
    <w:p w14:paraId="1B65885E" w14:textId="46089F79" w:rsidR="00DA3EA2" w:rsidRDefault="000E24E0" w:rsidP="000E24E0">
      <w:pPr>
        <w:pStyle w:val="BodyText"/>
      </w:pPr>
      <w:r w:rsidRPr="00A64052">
        <w:t xml:space="preserve">If a </w:t>
      </w:r>
      <w:r w:rsidR="009542D1">
        <w:t>[</w:t>
      </w:r>
      <w:r w:rsidR="009542D1" w:rsidRPr="002E7242">
        <w:rPr>
          <w:highlight w:val="lightGray"/>
        </w:rPr>
        <w:t>Planning Committee</w:t>
      </w:r>
      <w:r w:rsidR="009542D1">
        <w:t>]</w:t>
      </w:r>
      <w:r w:rsidRPr="00A64052">
        <w:t xml:space="preserve"> Councillor is contacted by the applicant, their agent or objectors, they should follow the rules on lobbying and consider whether it would be prudent in the circumstances to make notes when contacted. A Councillor should report to the </w:t>
      </w:r>
      <w:r>
        <w:t>[</w:t>
      </w:r>
      <w:r w:rsidRPr="002E7242">
        <w:rPr>
          <w:highlight w:val="lightGray"/>
        </w:rPr>
        <w:t>Chief Planning Officer</w:t>
      </w:r>
      <w:r>
        <w:t>]</w:t>
      </w:r>
      <w:r w:rsidRPr="00A64052">
        <w:t xml:space="preserve"> any significant contact with the applicant or other parties, explaining the nature and purpose of the contact and their involvement, so that it can be recorded on the planning file. </w:t>
      </w:r>
      <w:r>
        <w:t>Any material received by a Councillor from an</w:t>
      </w:r>
      <w:r w:rsidRPr="00A64052">
        <w:t xml:space="preserve"> applicant, their agent or objectors</w:t>
      </w:r>
      <w:r>
        <w:t xml:space="preserve"> in relation to an application should be passed onto </w:t>
      </w:r>
      <w:r w:rsidRPr="00A64052">
        <w:t xml:space="preserve">the </w:t>
      </w:r>
      <w:r>
        <w:t>[</w:t>
      </w:r>
      <w:r w:rsidRPr="00541958">
        <w:rPr>
          <w:highlight w:val="lightGray"/>
        </w:rPr>
        <w:t>Chief Planning Officer</w:t>
      </w:r>
      <w:r>
        <w:t xml:space="preserve">] so that it can be </w:t>
      </w:r>
      <w:proofErr w:type="gramStart"/>
      <w:r>
        <w:t>taken into account</w:t>
      </w:r>
      <w:proofErr w:type="gramEnd"/>
      <w:r>
        <w:t xml:space="preserve"> in the determination of the application.</w:t>
      </w:r>
      <w:r w:rsidR="008D719D">
        <w:t xml:space="preserve"> In the interests of transparency, any such contact should be declared at the subsequent committee meeting that considers the </w:t>
      </w:r>
      <w:r w:rsidR="00801D2C">
        <w:t>application</w:t>
      </w:r>
      <w:r w:rsidR="008D719D">
        <w:t>.</w:t>
      </w:r>
    </w:p>
    <w:p w14:paraId="679E4B18" w14:textId="0A2D90E9" w:rsidR="00DA3EA2" w:rsidRDefault="009542D1" w:rsidP="000E24E0">
      <w:pPr>
        <w:pStyle w:val="BodyText"/>
      </w:pPr>
      <w:r>
        <w:t>[</w:t>
      </w:r>
      <w:r w:rsidRPr="002E7242">
        <w:rPr>
          <w:highlight w:val="lightGray"/>
        </w:rPr>
        <w:t>Planning Committee</w:t>
      </w:r>
      <w:r>
        <w:t>]</w:t>
      </w:r>
      <w:r w:rsidR="000E24E0" w:rsidRPr="00A64052">
        <w:t xml:space="preserve"> Councillors should not attend post-submission meetings that are not organised through officers. </w:t>
      </w:r>
    </w:p>
    <w:p w14:paraId="05AB1653" w14:textId="77777777" w:rsidR="00DA3EA2" w:rsidRPr="00DA3EA2" w:rsidRDefault="000E24E0" w:rsidP="00E614C8">
      <w:pPr>
        <w:pStyle w:val="Heading1"/>
        <w:numPr>
          <w:ilvl w:val="0"/>
          <w:numId w:val="14"/>
        </w:numPr>
      </w:pPr>
      <w:bookmarkStart w:id="22" w:name="_Toc231316502"/>
      <w:r w:rsidRPr="00DA3EA2">
        <w:t>Planning Appeals</w:t>
      </w:r>
      <w:bookmarkEnd w:id="22"/>
      <w:r w:rsidRPr="00DA3EA2">
        <w:t xml:space="preserve"> </w:t>
      </w:r>
    </w:p>
    <w:p w14:paraId="59EA5C4C" w14:textId="77777777" w:rsidR="00DA3EA2" w:rsidRDefault="000E24E0" w:rsidP="000E24E0">
      <w:pPr>
        <w:pStyle w:val="BodyText"/>
      </w:pPr>
      <w:r w:rsidRPr="00A64052">
        <w:t xml:space="preserve">Appeals against the planning decisions of the Council are heard by a Planning Inspector appointed by the Secretary of State. Any hearing or inquiry will be open to the public and Councillors are able to attend. Councillors are encouraged to attend such hearings, as they can be a good learning experience. This part of the Code is concerned with Councillors who wish to actively participate in these appeals. </w:t>
      </w:r>
    </w:p>
    <w:p w14:paraId="1524E1C1" w14:textId="75435193" w:rsidR="00DA3EA2" w:rsidRDefault="000E24E0" w:rsidP="000E24E0">
      <w:pPr>
        <w:pStyle w:val="BodyText"/>
      </w:pPr>
      <w:r w:rsidRPr="00A64052">
        <w:lastRenderedPageBreak/>
        <w:t xml:space="preserve">If a Councillor wishes to attend a public inquiry or hearing as a Ward Councillor or as a member of the public, they are free to do so. It is strongly recommended that they discuss their participation with the </w:t>
      </w:r>
      <w:r>
        <w:t>[</w:t>
      </w:r>
      <w:r w:rsidRPr="002E7242">
        <w:rPr>
          <w:highlight w:val="lightGray"/>
        </w:rPr>
        <w:t>Chief Planning Officer</w:t>
      </w:r>
      <w:r>
        <w:t>]</w:t>
      </w:r>
      <w:r w:rsidRPr="00A64052">
        <w:t xml:space="preserve"> to ensure that they are aware of the process and that the</w:t>
      </w:r>
      <w:r>
        <w:t xml:space="preserve"> Councillor</w:t>
      </w:r>
      <w:r w:rsidRPr="00A64052">
        <w:t xml:space="preserve"> do</w:t>
      </w:r>
      <w:r>
        <w:t>es</w:t>
      </w:r>
      <w:r w:rsidRPr="00A64052">
        <w:t xml:space="preserve"> not act in a manner which compromises their position as a Councillor, brings the Council into disrepute</w:t>
      </w:r>
      <w:r>
        <w:t>, prejudices the Council’s case</w:t>
      </w:r>
      <w:r w:rsidRPr="00A64052">
        <w:t xml:space="preserve"> or puts the decision made </w:t>
      </w:r>
      <w:r>
        <w:t xml:space="preserve">by the Council </w:t>
      </w:r>
      <w:r w:rsidRPr="00A64052">
        <w:t>at risk of challenge.</w:t>
      </w:r>
    </w:p>
    <w:p w14:paraId="6EBEF865" w14:textId="5E389FE6" w:rsidR="00DA3EA2" w:rsidRDefault="000E24E0" w:rsidP="000E24E0">
      <w:pPr>
        <w:pStyle w:val="BodyText"/>
      </w:pPr>
      <w:r w:rsidRPr="00A64052">
        <w:t xml:space="preserve">A </w:t>
      </w:r>
      <w:r w:rsidR="009542D1">
        <w:t>[</w:t>
      </w:r>
      <w:r w:rsidR="009542D1" w:rsidRPr="002E7242">
        <w:rPr>
          <w:highlight w:val="lightGray"/>
        </w:rPr>
        <w:t>Planning Committee</w:t>
      </w:r>
      <w:r w:rsidR="009542D1">
        <w:t>]</w:t>
      </w:r>
      <w:r w:rsidRPr="00A64052">
        <w:t xml:space="preserve"> Councillor cannot attend an appeal on behalf of the Council’s </w:t>
      </w:r>
      <w:r w:rsidR="009542D1">
        <w:t>[</w:t>
      </w:r>
      <w:r w:rsidR="009542D1" w:rsidRPr="002E7242">
        <w:rPr>
          <w:highlight w:val="lightGray"/>
        </w:rPr>
        <w:t>Planning Committee</w:t>
      </w:r>
      <w:r w:rsidR="009542D1">
        <w:t>]</w:t>
      </w:r>
      <w:r w:rsidRPr="00A64052">
        <w:t xml:space="preserve">, even if they sat on the Committee that made the decision, unless this is as part of the Council’s case as decided by the </w:t>
      </w:r>
      <w:r>
        <w:t>[</w:t>
      </w:r>
      <w:r w:rsidRPr="002E7242">
        <w:rPr>
          <w:highlight w:val="lightGray"/>
        </w:rPr>
        <w:t>Chief Planning Officer</w:t>
      </w:r>
      <w:r>
        <w:t>]</w:t>
      </w:r>
      <w:r w:rsidRPr="00A64052">
        <w:t xml:space="preserve">. The decision of the Committee will be recorded in the minute and set out in the decision notice. </w:t>
      </w:r>
      <w:r>
        <w:t>A</w:t>
      </w:r>
      <w:r w:rsidRPr="00A64052">
        <w:t xml:space="preserve"> planning officer will present the Council's case on its planning merits, in accordance with the Committee's decision. The inspector is required to determine the appeal on its planning merits and therefore all representations by the Council will be so directed. </w:t>
      </w:r>
    </w:p>
    <w:p w14:paraId="2C035EF3" w14:textId="35F97B76" w:rsidR="00DA3EA2" w:rsidRDefault="000E24E0" w:rsidP="000E24E0">
      <w:pPr>
        <w:pStyle w:val="BodyText"/>
      </w:pPr>
      <w:r w:rsidRPr="00A64052">
        <w:t xml:space="preserve">Where the appealed decision was contrary to the officer’s recommendation, officers </w:t>
      </w:r>
      <w:r>
        <w:t>should</w:t>
      </w:r>
      <w:r w:rsidRPr="00A64052">
        <w:t xml:space="preserve"> </w:t>
      </w:r>
      <w:r w:rsidR="008518FA">
        <w:t xml:space="preserve">still </w:t>
      </w:r>
      <w:r>
        <w:t xml:space="preserve">be </w:t>
      </w:r>
      <w:r w:rsidRPr="00A64052">
        <w:t xml:space="preserve">able to present the Council's case. Where this </w:t>
      </w:r>
      <w:r>
        <w:t>is not the case</w:t>
      </w:r>
      <w:r w:rsidRPr="00A64052">
        <w:t xml:space="preserve">, the </w:t>
      </w:r>
      <w:r>
        <w:t>matter</w:t>
      </w:r>
      <w:r w:rsidRPr="00A64052">
        <w:t xml:space="preserve"> will be presented by a planning consultant employed by the Council. </w:t>
      </w:r>
    </w:p>
    <w:p w14:paraId="07759983" w14:textId="77777777" w:rsidR="00DA3EA2" w:rsidRPr="00DA3EA2" w:rsidRDefault="000E24E0" w:rsidP="00E614C8">
      <w:pPr>
        <w:pStyle w:val="Heading1"/>
        <w:numPr>
          <w:ilvl w:val="0"/>
          <w:numId w:val="14"/>
        </w:numPr>
      </w:pPr>
      <w:bookmarkStart w:id="23" w:name="_Toc231316503"/>
      <w:r w:rsidRPr="00DA3EA2">
        <w:t>Planning Enforcement</w:t>
      </w:r>
      <w:bookmarkEnd w:id="23"/>
      <w:r w:rsidRPr="00DA3EA2">
        <w:t xml:space="preserve"> </w:t>
      </w:r>
    </w:p>
    <w:p w14:paraId="72337F48" w14:textId="55731F8A" w:rsidR="00DA3EA2" w:rsidRDefault="000E24E0" w:rsidP="000E24E0">
      <w:pPr>
        <w:pStyle w:val="BodyText"/>
      </w:pPr>
      <w:r w:rsidRPr="00A64052">
        <w:t xml:space="preserve">It is perfectly legitimate for Councillors to bring to the attention of the </w:t>
      </w:r>
      <w:r w:rsidR="007D61DA">
        <w:t>[</w:t>
      </w:r>
      <w:r w:rsidR="007D61DA" w:rsidRPr="00541958">
        <w:rPr>
          <w:highlight w:val="lightGray"/>
        </w:rPr>
        <w:t>Planning Service</w:t>
      </w:r>
      <w:r w:rsidR="007D61DA">
        <w:t>]</w:t>
      </w:r>
      <w:r w:rsidRPr="00A64052">
        <w:t xml:space="preserve"> suspected breaches of planning control so that they may be investigated to see whether any action is possible or necessary. They should bring these to the attention of the </w:t>
      </w:r>
      <w:r w:rsidR="007D61DA">
        <w:t>[</w:t>
      </w:r>
      <w:r w:rsidR="007D61DA" w:rsidRPr="002E7242">
        <w:rPr>
          <w:highlight w:val="lightGray"/>
        </w:rPr>
        <w:t>Planning Service</w:t>
      </w:r>
      <w:r w:rsidR="007D61DA">
        <w:t>]</w:t>
      </w:r>
      <w:r w:rsidRPr="00A64052">
        <w:t xml:space="preserve"> via the online form</w:t>
      </w:r>
      <w:r>
        <w:t xml:space="preserve"> on the Planning Enforcement web page</w:t>
      </w:r>
      <w:r w:rsidRPr="00A64052">
        <w:t>.</w:t>
      </w:r>
    </w:p>
    <w:p w14:paraId="3A5CA41D" w14:textId="4E1E9F47" w:rsidR="00DA3EA2" w:rsidRDefault="000E24E0" w:rsidP="000E24E0">
      <w:pPr>
        <w:pStyle w:val="BodyText"/>
      </w:pPr>
      <w:r w:rsidRPr="00A64052">
        <w:t xml:space="preserve">The Council’s planning enforcement service operates to a priority system </w:t>
      </w:r>
      <w:r w:rsidR="00891D68">
        <w:t>set out in their [</w:t>
      </w:r>
      <w:r w:rsidR="00891D68" w:rsidRPr="00CE09EA">
        <w:rPr>
          <w:highlight w:val="lightGray"/>
        </w:rPr>
        <w:t xml:space="preserve">Enforcement </w:t>
      </w:r>
      <w:r w:rsidR="00CE09EA" w:rsidRPr="00CE09EA">
        <w:rPr>
          <w:highlight w:val="lightGray"/>
        </w:rPr>
        <w:t>Policy</w:t>
      </w:r>
      <w:r w:rsidR="00891D68">
        <w:t xml:space="preserve">] </w:t>
      </w:r>
      <w:r w:rsidRPr="00A64052">
        <w:t>so that those breaches that cause the most harm are dealt with first. This priority system is designed to produce a fair and responsive enforcement service</w:t>
      </w:r>
      <w:r w:rsidR="005E0DE7">
        <w:t xml:space="preserve"> within the resources available</w:t>
      </w:r>
      <w:r w:rsidRPr="00A64052">
        <w:t>. Councillors must not seek to have matters that they have raised given preferential treatment merely because they are a Councillor.</w:t>
      </w:r>
    </w:p>
    <w:p w14:paraId="3B291E7F" w14:textId="77777777" w:rsidR="00DA3EA2" w:rsidRPr="00DA3EA2" w:rsidRDefault="000E24E0" w:rsidP="00E614C8">
      <w:pPr>
        <w:pStyle w:val="Heading1"/>
        <w:numPr>
          <w:ilvl w:val="0"/>
          <w:numId w:val="14"/>
        </w:numPr>
      </w:pPr>
      <w:bookmarkStart w:id="24" w:name="_Toc231316504"/>
      <w:r w:rsidRPr="00DA3EA2">
        <w:t>Councillor Training</w:t>
      </w:r>
      <w:bookmarkEnd w:id="24"/>
      <w:r w:rsidRPr="00DA3EA2">
        <w:t xml:space="preserve"> </w:t>
      </w:r>
    </w:p>
    <w:p w14:paraId="520CA171" w14:textId="1F83F76A" w:rsidR="00DA3EA2" w:rsidRDefault="000E24E0" w:rsidP="000E24E0">
      <w:pPr>
        <w:pStyle w:val="BodyText"/>
      </w:pPr>
      <w:r w:rsidRPr="00A64052">
        <w:t xml:space="preserve">Councillors may not participate in decision making at meetings of the Council’s </w:t>
      </w:r>
      <w:r w:rsidR="009542D1">
        <w:t>[</w:t>
      </w:r>
      <w:r w:rsidR="009542D1" w:rsidRPr="002E7242">
        <w:rPr>
          <w:highlight w:val="lightGray"/>
        </w:rPr>
        <w:t>Planning Committee</w:t>
      </w:r>
      <w:r w:rsidR="009542D1">
        <w:t>]</w:t>
      </w:r>
      <w:r w:rsidRPr="00A64052">
        <w:t xml:space="preserve"> unless they have attended mandatory training. This will be provided by the Council’s </w:t>
      </w:r>
      <w:r w:rsidR="008446B6">
        <w:t>[</w:t>
      </w:r>
      <w:r w:rsidRPr="002E7242">
        <w:rPr>
          <w:highlight w:val="lightGray"/>
        </w:rPr>
        <w:t>Planning and Legal Services</w:t>
      </w:r>
      <w:r w:rsidR="007A09AF">
        <w:t>]</w:t>
      </w:r>
      <w:r w:rsidRPr="00A64052">
        <w:t xml:space="preserve"> and will cover the principles of planning and probity in planning. </w:t>
      </w:r>
    </w:p>
    <w:p w14:paraId="01034CF4" w14:textId="210B47EB" w:rsidR="00DA3EA2" w:rsidRDefault="000E24E0" w:rsidP="000E24E0">
      <w:pPr>
        <w:pStyle w:val="BodyText"/>
      </w:pPr>
      <w:r w:rsidRPr="00A64052">
        <w:t xml:space="preserve">Whilst all new </w:t>
      </w:r>
      <w:r w:rsidR="009542D1">
        <w:t>[</w:t>
      </w:r>
      <w:r w:rsidR="009542D1" w:rsidRPr="002E7242">
        <w:rPr>
          <w:highlight w:val="lightGray"/>
        </w:rPr>
        <w:t>Planning Committee</w:t>
      </w:r>
      <w:r w:rsidR="009542D1">
        <w:t>]</w:t>
      </w:r>
      <w:r w:rsidRPr="00A64052">
        <w:t xml:space="preserve"> Councillors (and new substitutes) must attend this compulsory training before they can participate in the Council’s </w:t>
      </w:r>
      <w:r w:rsidR="009542D1">
        <w:t>[</w:t>
      </w:r>
      <w:r w:rsidR="009542D1" w:rsidRPr="002E7242">
        <w:rPr>
          <w:highlight w:val="lightGray"/>
        </w:rPr>
        <w:t>Planning Committee</w:t>
      </w:r>
      <w:r w:rsidR="009542D1">
        <w:t>]</w:t>
      </w:r>
      <w:r w:rsidRPr="00A64052">
        <w:t xml:space="preserve">, all other </w:t>
      </w:r>
      <w:r w:rsidR="009542D1">
        <w:t>[</w:t>
      </w:r>
      <w:r w:rsidR="009542D1" w:rsidRPr="002E7242">
        <w:rPr>
          <w:highlight w:val="lightGray"/>
        </w:rPr>
        <w:t>Planning Committee</w:t>
      </w:r>
      <w:r w:rsidR="009542D1">
        <w:t>]</w:t>
      </w:r>
      <w:r w:rsidRPr="00A64052">
        <w:t xml:space="preserve"> Councillors (and substitutes) are also encouraged to attend so that they can ensure that they keep up to date on these matters. All </w:t>
      </w:r>
      <w:r w:rsidR="009542D1">
        <w:t>[</w:t>
      </w:r>
      <w:r w:rsidR="009542D1" w:rsidRPr="002E7242">
        <w:rPr>
          <w:highlight w:val="lightGray"/>
        </w:rPr>
        <w:t>Planning Committee</w:t>
      </w:r>
      <w:r w:rsidR="009542D1">
        <w:t>]</w:t>
      </w:r>
      <w:r w:rsidRPr="00A64052">
        <w:t xml:space="preserve"> Councillors (and substitutes) must attend this training at least every two years, or as </w:t>
      </w:r>
      <w:r>
        <w:t xml:space="preserve">otherwise </w:t>
      </w:r>
      <w:r w:rsidRPr="00A64052">
        <w:t>recommended individually or collectively by the Monitoring Officer.</w:t>
      </w:r>
    </w:p>
    <w:p w14:paraId="5AB39E76" w14:textId="77777777" w:rsidR="00EA0DF7" w:rsidRDefault="000E24E0" w:rsidP="00EA0DF7">
      <w:pPr>
        <w:pStyle w:val="BodyText"/>
      </w:pPr>
      <w:r w:rsidRPr="00A64052">
        <w:lastRenderedPageBreak/>
        <w:t xml:space="preserve">All </w:t>
      </w:r>
      <w:r w:rsidR="009542D1">
        <w:t>[</w:t>
      </w:r>
      <w:r w:rsidR="009542D1" w:rsidRPr="002E7242">
        <w:rPr>
          <w:highlight w:val="lightGray"/>
        </w:rPr>
        <w:t>Planning Committee</w:t>
      </w:r>
      <w:r w:rsidR="009542D1">
        <w:t>]</w:t>
      </w:r>
      <w:r w:rsidRPr="00A64052">
        <w:t xml:space="preserve"> Councillors should endeavour to attend any other specialised training sessions provided, since these will be designed to extend </w:t>
      </w:r>
      <w:r>
        <w:t xml:space="preserve">and deepen </w:t>
      </w:r>
      <w:r w:rsidRPr="00A64052">
        <w:t>their knowledge of planning law, policy, procedures, and good practice, which will assist them in carrying out their role.</w:t>
      </w:r>
    </w:p>
    <w:p w14:paraId="30217EF5" w14:textId="0ECFF340" w:rsidR="000E24E0" w:rsidRPr="00DA3EA2" w:rsidRDefault="000E24E0" w:rsidP="00EA0DF7">
      <w:pPr>
        <w:pStyle w:val="BodyText"/>
      </w:pPr>
      <w:r w:rsidRPr="00A64052">
        <w:t xml:space="preserve">Training provided on planning related matters, whilst aimed at </w:t>
      </w:r>
      <w:r w:rsidR="009542D1">
        <w:t>[</w:t>
      </w:r>
      <w:r w:rsidR="009542D1" w:rsidRPr="00EA0DF7">
        <w:rPr>
          <w:highlight w:val="lightGray"/>
        </w:rPr>
        <w:t>Planning Committee</w:t>
      </w:r>
      <w:r w:rsidR="009542D1">
        <w:t>]</w:t>
      </w:r>
      <w:r w:rsidRPr="00A64052">
        <w:t xml:space="preserve"> Councillors, is open to any Councillor with an interest to attend.</w:t>
      </w:r>
    </w:p>
    <w:sectPr w:rsidR="000E24E0" w:rsidRPr="00DA3EA2" w:rsidSect="009128CA">
      <w:headerReference w:type="default" r:id="rId8"/>
      <w:footerReference w:type="default" r:id="rId9"/>
      <w:pgSz w:w="11906" w:h="16838" w:code="9"/>
      <w:pgMar w:top="1361" w:right="1361" w:bottom="1361" w:left="1361" w:header="68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D399" w14:textId="77777777" w:rsidR="00837005" w:rsidRDefault="00837005" w:rsidP="00A3661A">
      <w:r>
        <w:separator/>
      </w:r>
    </w:p>
  </w:endnote>
  <w:endnote w:type="continuationSeparator" w:id="0">
    <w:p w14:paraId="00260565" w14:textId="77777777" w:rsidR="00837005" w:rsidRDefault="00837005" w:rsidP="00A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5002EFF" w:usb1="C000E47F" w:usb2="0000002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7581" w14:textId="2C30E18B" w:rsidR="0037486A" w:rsidRDefault="0037486A">
    <w:pPr>
      <w:pStyle w:val="Footer"/>
    </w:pPr>
    <w:r w:rsidRPr="002C1B59">
      <w:t xml:space="preserve">www.planningofficers.org.uk </w:t>
    </w:r>
    <w:r w:rsidRPr="002C1B59">
      <w:ptab w:relativeTo="margin" w:alignment="right" w:leader="none"/>
    </w:r>
    <w:r w:rsidRPr="002C1B59">
      <w:fldChar w:fldCharType="begin"/>
    </w:r>
    <w:r w:rsidRPr="002C1B59">
      <w:instrText xml:space="preserve"> PAGE   \* MERGEFORMAT </w:instrText>
    </w:r>
    <w:r w:rsidRPr="002C1B59">
      <w:fldChar w:fldCharType="separate"/>
    </w:r>
    <w:r>
      <w:t>2</w:t>
    </w:r>
    <w:r w:rsidRPr="002C1B5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2F1A" w14:textId="77777777" w:rsidR="00837005" w:rsidRDefault="00837005" w:rsidP="00A3661A">
      <w:r>
        <w:separator/>
      </w:r>
    </w:p>
  </w:footnote>
  <w:footnote w:type="continuationSeparator" w:id="0">
    <w:p w14:paraId="2CE7BC4D" w14:textId="77777777" w:rsidR="00837005" w:rsidRDefault="00837005" w:rsidP="00A3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8BEC" w14:textId="77777777" w:rsidR="001A152B" w:rsidRDefault="00483AA8" w:rsidP="00B173A5">
    <w:pPr>
      <w:pStyle w:val="Header"/>
    </w:pPr>
    <w:r>
      <w:t xml:space="preserve">POS </w:t>
    </w:r>
    <w:r w:rsidR="00D44A80" w:rsidRPr="002C5659">
      <w:t>GOOD PRACTICE GUIDANCE NOTE</w:t>
    </w:r>
    <w:r w:rsidR="00FA72D2">
      <w:t xml:space="preserve"> APPENDIX</w:t>
    </w:r>
    <w:r w:rsidR="00C12AD8">
      <w:t xml:space="preserve"> </w:t>
    </w:r>
    <w:r w:rsidR="00C960F2">
      <w:t>D</w:t>
    </w:r>
    <w:r w:rsidR="00D44A80" w:rsidRPr="002C5659">
      <w:t xml:space="preserve">: </w:t>
    </w:r>
    <w:r w:rsidR="00353133" w:rsidRPr="002C5659">
      <w:t>Planning Code of Conduct</w:t>
    </w:r>
  </w:p>
  <w:p w14:paraId="3B603907" w14:textId="08550667" w:rsidR="00D44A80" w:rsidRPr="00D44A80" w:rsidRDefault="000B3C0C" w:rsidP="00B173A5">
    <w:pPr>
      <w:pStyle w:val="Header"/>
    </w:pPr>
    <w:r>
      <w:t>June</w:t>
    </w:r>
    <w:r w:rsidR="00BE339D" w:rsidRPr="002C1B59">
      <w:t xml:space="preserve"> 20</w:t>
    </w:r>
    <w:r w:rsidR="00BE339D">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0867058"/>
    <w:lvl w:ilvl="0">
      <w:start w:val="4"/>
      <w:numFmt w:val="decimal"/>
      <w:pStyle w:val="ListNumber"/>
      <w:lvlText w:val="%1."/>
      <w:lvlJc w:val="left"/>
      <w:pPr>
        <w:tabs>
          <w:tab w:val="num" w:pos="360"/>
        </w:tabs>
        <w:ind w:left="360" w:hanging="360"/>
      </w:pPr>
      <w:rPr>
        <w:rFonts w:hint="default"/>
      </w:rPr>
    </w:lvl>
  </w:abstractNum>
  <w:abstractNum w:abstractNumId="1" w15:restartNumberingAfterBreak="0">
    <w:nsid w:val="01EE3C7A"/>
    <w:multiLevelType w:val="multilevel"/>
    <w:tmpl w:val="530A2B68"/>
    <w:styleLink w:val="CurrentList1"/>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71F3EC2"/>
    <w:multiLevelType w:val="multilevel"/>
    <w:tmpl w:val="3A1A4DD8"/>
    <w:styleLink w:val="CurrentList7"/>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470F34"/>
    <w:multiLevelType w:val="multilevel"/>
    <w:tmpl w:val="530A2B68"/>
    <w:styleLink w:val="CurrentList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2D22BC"/>
    <w:multiLevelType w:val="multilevel"/>
    <w:tmpl w:val="6E46E11C"/>
    <w:styleLink w:val="CurrentList4"/>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2D91FB5"/>
    <w:multiLevelType w:val="singleLevel"/>
    <w:tmpl w:val="30E2C80E"/>
    <w:lvl w:ilvl="0">
      <w:start w:val="1"/>
      <w:numFmt w:val="bullet"/>
      <w:pStyle w:val="ListBullet"/>
      <w:lvlText w:val=""/>
      <w:lvlJc w:val="left"/>
      <w:pPr>
        <w:tabs>
          <w:tab w:val="num" w:pos="1080"/>
        </w:tabs>
        <w:ind w:left="1077" w:hanging="357"/>
      </w:pPr>
      <w:rPr>
        <w:rFonts w:ascii="Symbol" w:hAnsi="Symbol" w:hint="default"/>
      </w:rPr>
    </w:lvl>
  </w:abstractNum>
  <w:abstractNum w:abstractNumId="6" w15:restartNumberingAfterBreak="0">
    <w:nsid w:val="278D7BD0"/>
    <w:multiLevelType w:val="multilevel"/>
    <w:tmpl w:val="0728E050"/>
    <w:styleLink w:val="CurrentList5"/>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91173C9"/>
    <w:multiLevelType w:val="multilevel"/>
    <w:tmpl w:val="7F1015DA"/>
    <w:lvl w:ilvl="0">
      <w:start w:val="1"/>
      <w:numFmt w:val="decimal"/>
      <w:pStyle w:val="Heading1"/>
      <w:lvlText w:val="%1"/>
      <w:lvlJc w:val="left"/>
      <w:pPr>
        <w:ind w:left="720" w:hanging="720"/>
      </w:pPr>
      <w:rPr>
        <w:rFonts w:hint="default"/>
      </w:rPr>
    </w:lvl>
    <w:lvl w:ilvl="1">
      <w:start w:val="1"/>
      <w:numFmt w:val="decimal"/>
      <w:pStyle w:val="BodyText"/>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1B74D01"/>
    <w:multiLevelType w:val="multilevel"/>
    <w:tmpl w:val="530A2B68"/>
    <w:styleLink w:val="CurrentList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4D27240"/>
    <w:multiLevelType w:val="multilevel"/>
    <w:tmpl w:val="3A1A4DD8"/>
    <w:styleLink w:val="CurrentList6"/>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EBE747B"/>
    <w:multiLevelType w:val="multilevel"/>
    <w:tmpl w:val="25E4FC12"/>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355619A"/>
    <w:multiLevelType w:val="hybridMultilevel"/>
    <w:tmpl w:val="914A713E"/>
    <w:lvl w:ilvl="0" w:tplc="D02A6B4E">
      <w:start w:val="1"/>
      <w:numFmt w:val="bullet"/>
      <w:pStyle w:val="CVBullet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0F3B6B"/>
    <w:multiLevelType w:val="multilevel"/>
    <w:tmpl w:val="06AC561A"/>
    <w:lvl w:ilvl="0">
      <w:start w:val="1"/>
      <w:numFmt w:val="decimal"/>
      <w:pStyle w:val="ListNumbered"/>
      <w:lvlText w:val="%1."/>
      <w:lvlJc w:val="left"/>
      <w:pPr>
        <w:tabs>
          <w:tab w:val="num" w:pos="1080"/>
        </w:tabs>
        <w:ind w:left="1077" w:hanging="357"/>
      </w:pPr>
      <w:rPr>
        <w:rFonts w:hint="default"/>
      </w:rPr>
    </w:lvl>
    <w:lvl w:ilvl="1">
      <w:start w:val="1"/>
      <w:numFmt w:val="lowerLetter"/>
      <w:lvlText w:val="%2."/>
      <w:lvlJc w:val="left"/>
      <w:pPr>
        <w:tabs>
          <w:tab w:val="num" w:pos="1440"/>
        </w:tabs>
        <w:ind w:left="1440" w:hanging="363"/>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160" w:hanging="363"/>
      </w:pPr>
      <w:rPr>
        <w:rFonts w:hint="default"/>
      </w:rPr>
    </w:lvl>
    <w:lvl w:ilvl="4">
      <w:start w:val="1"/>
      <w:numFmt w:val="lowerLetter"/>
      <w:lvlText w:val="%5)"/>
      <w:lvlJc w:val="left"/>
      <w:pPr>
        <w:tabs>
          <w:tab w:val="num" w:pos="2520"/>
        </w:tabs>
        <w:ind w:left="2517" w:hanging="357"/>
      </w:pPr>
      <w:rPr>
        <w:rFonts w:hint="default"/>
      </w:rPr>
    </w:lvl>
    <w:lvl w:ilvl="5">
      <w:start w:val="1"/>
      <w:numFmt w:val="lowerRoman"/>
      <w:lvlText w:val="%6)"/>
      <w:lvlJc w:val="left"/>
      <w:pPr>
        <w:tabs>
          <w:tab w:val="num" w:pos="3237"/>
        </w:tabs>
        <w:ind w:left="2880" w:hanging="363"/>
      </w:pPr>
      <w:rPr>
        <w:rFonts w:hint="default"/>
      </w:rPr>
    </w:lvl>
    <w:lvl w:ilvl="6">
      <w:start w:val="1"/>
      <w:numFmt w:val="decimal"/>
      <w:lvlText w:val="(%7)"/>
      <w:lvlJc w:val="left"/>
      <w:pPr>
        <w:tabs>
          <w:tab w:val="num" w:pos="3240"/>
        </w:tabs>
        <w:ind w:left="3238" w:hanging="358"/>
      </w:pPr>
      <w:rPr>
        <w:rFonts w:hint="default"/>
      </w:rPr>
    </w:lvl>
    <w:lvl w:ilvl="7">
      <w:start w:val="1"/>
      <w:numFmt w:val="lowerLetter"/>
      <w:lvlText w:val="(%8)"/>
      <w:lvlJc w:val="left"/>
      <w:pPr>
        <w:tabs>
          <w:tab w:val="num" w:pos="3598"/>
        </w:tabs>
        <w:ind w:left="3595" w:hanging="357"/>
      </w:pPr>
      <w:rPr>
        <w:rFonts w:hint="default"/>
      </w:rPr>
    </w:lvl>
    <w:lvl w:ilvl="8">
      <w:start w:val="1"/>
      <w:numFmt w:val="lowerRoman"/>
      <w:lvlText w:val="(%9)"/>
      <w:lvlJc w:val="left"/>
      <w:pPr>
        <w:tabs>
          <w:tab w:val="num" w:pos="4315"/>
        </w:tabs>
        <w:ind w:left="3952" w:hanging="357"/>
      </w:pPr>
      <w:rPr>
        <w:rFonts w:hint="default"/>
      </w:rPr>
    </w:lvl>
  </w:abstractNum>
  <w:abstractNum w:abstractNumId="13" w15:restartNumberingAfterBreak="0">
    <w:nsid w:val="78E300E1"/>
    <w:multiLevelType w:val="hybridMultilevel"/>
    <w:tmpl w:val="B57CC2C2"/>
    <w:lvl w:ilvl="0" w:tplc="38DA94C2">
      <w:start w:val="4"/>
      <w:numFmt w:val="decimal"/>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num w:numId="1" w16cid:durableId="928152797">
    <w:abstractNumId w:val="5"/>
  </w:num>
  <w:num w:numId="2" w16cid:durableId="759645910">
    <w:abstractNumId w:val="12"/>
  </w:num>
  <w:num w:numId="3" w16cid:durableId="922882394">
    <w:abstractNumId w:val="0"/>
  </w:num>
  <w:num w:numId="4" w16cid:durableId="1191262033">
    <w:abstractNumId w:val="11"/>
  </w:num>
  <w:num w:numId="5" w16cid:durableId="1259674004">
    <w:abstractNumId w:val="1"/>
  </w:num>
  <w:num w:numId="6" w16cid:durableId="2005619656">
    <w:abstractNumId w:val="8"/>
  </w:num>
  <w:num w:numId="7" w16cid:durableId="1791626676">
    <w:abstractNumId w:val="3"/>
  </w:num>
  <w:num w:numId="8" w16cid:durableId="1700861154">
    <w:abstractNumId w:val="10"/>
  </w:num>
  <w:num w:numId="9" w16cid:durableId="1207989151">
    <w:abstractNumId w:val="4"/>
  </w:num>
  <w:num w:numId="10" w16cid:durableId="683820288">
    <w:abstractNumId w:val="6"/>
  </w:num>
  <w:num w:numId="11" w16cid:durableId="1472209493">
    <w:abstractNumId w:val="9"/>
  </w:num>
  <w:num w:numId="12" w16cid:durableId="1614284838">
    <w:abstractNumId w:val="7"/>
  </w:num>
  <w:num w:numId="13" w16cid:durableId="1703478766">
    <w:abstractNumId w:val="2"/>
  </w:num>
  <w:num w:numId="14" w16cid:durableId="775829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307279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57"/>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E6"/>
    <w:rsid w:val="00000961"/>
    <w:rsid w:val="00014008"/>
    <w:rsid w:val="00014DC9"/>
    <w:rsid w:val="00016A33"/>
    <w:rsid w:val="000308DF"/>
    <w:rsid w:val="00030C9D"/>
    <w:rsid w:val="00031A6E"/>
    <w:rsid w:val="00037F1D"/>
    <w:rsid w:val="000406FF"/>
    <w:rsid w:val="00041E67"/>
    <w:rsid w:val="0004520A"/>
    <w:rsid w:val="00047C74"/>
    <w:rsid w:val="00050E65"/>
    <w:rsid w:val="000525A0"/>
    <w:rsid w:val="00054993"/>
    <w:rsid w:val="000562E3"/>
    <w:rsid w:val="00061B49"/>
    <w:rsid w:val="00065C0B"/>
    <w:rsid w:val="00067AE6"/>
    <w:rsid w:val="00074C26"/>
    <w:rsid w:val="000774AC"/>
    <w:rsid w:val="00080A18"/>
    <w:rsid w:val="00080EE6"/>
    <w:rsid w:val="000819CB"/>
    <w:rsid w:val="00085899"/>
    <w:rsid w:val="00087B24"/>
    <w:rsid w:val="00087CDB"/>
    <w:rsid w:val="0009310F"/>
    <w:rsid w:val="00094A29"/>
    <w:rsid w:val="0009715F"/>
    <w:rsid w:val="000975D5"/>
    <w:rsid w:val="000A0B5E"/>
    <w:rsid w:val="000A0F3E"/>
    <w:rsid w:val="000A44BA"/>
    <w:rsid w:val="000A5876"/>
    <w:rsid w:val="000A6780"/>
    <w:rsid w:val="000A78E1"/>
    <w:rsid w:val="000B1087"/>
    <w:rsid w:val="000B1F5A"/>
    <w:rsid w:val="000B3756"/>
    <w:rsid w:val="000B3C0C"/>
    <w:rsid w:val="000B4223"/>
    <w:rsid w:val="000B523F"/>
    <w:rsid w:val="000B5393"/>
    <w:rsid w:val="000B5F4D"/>
    <w:rsid w:val="000C150F"/>
    <w:rsid w:val="000C194E"/>
    <w:rsid w:val="000C715E"/>
    <w:rsid w:val="000C7253"/>
    <w:rsid w:val="000C7BF6"/>
    <w:rsid w:val="000D2D6A"/>
    <w:rsid w:val="000D7458"/>
    <w:rsid w:val="000E24E0"/>
    <w:rsid w:val="000E5ACA"/>
    <w:rsid w:val="000E646C"/>
    <w:rsid w:val="000E693F"/>
    <w:rsid w:val="000E720E"/>
    <w:rsid w:val="000F1AAE"/>
    <w:rsid w:val="000F2E6F"/>
    <w:rsid w:val="000F6BD0"/>
    <w:rsid w:val="00101A91"/>
    <w:rsid w:val="00101F2C"/>
    <w:rsid w:val="001027E6"/>
    <w:rsid w:val="00103610"/>
    <w:rsid w:val="00113FFB"/>
    <w:rsid w:val="0011405A"/>
    <w:rsid w:val="00114731"/>
    <w:rsid w:val="00114919"/>
    <w:rsid w:val="00115BF7"/>
    <w:rsid w:val="001255D2"/>
    <w:rsid w:val="0012609B"/>
    <w:rsid w:val="00127C6D"/>
    <w:rsid w:val="0013095D"/>
    <w:rsid w:val="0013411D"/>
    <w:rsid w:val="00134957"/>
    <w:rsid w:val="00136CE8"/>
    <w:rsid w:val="00141523"/>
    <w:rsid w:val="00144307"/>
    <w:rsid w:val="001446EE"/>
    <w:rsid w:val="00147730"/>
    <w:rsid w:val="00147C98"/>
    <w:rsid w:val="00151954"/>
    <w:rsid w:val="00155EE1"/>
    <w:rsid w:val="00157395"/>
    <w:rsid w:val="00165CE4"/>
    <w:rsid w:val="001736BE"/>
    <w:rsid w:val="00174522"/>
    <w:rsid w:val="0017758A"/>
    <w:rsid w:val="00181574"/>
    <w:rsid w:val="00185BEE"/>
    <w:rsid w:val="00187A28"/>
    <w:rsid w:val="001911DB"/>
    <w:rsid w:val="001916B8"/>
    <w:rsid w:val="00192879"/>
    <w:rsid w:val="0019416F"/>
    <w:rsid w:val="0019434C"/>
    <w:rsid w:val="00197468"/>
    <w:rsid w:val="001A08D0"/>
    <w:rsid w:val="001A152B"/>
    <w:rsid w:val="001A2161"/>
    <w:rsid w:val="001A3329"/>
    <w:rsid w:val="001A3A44"/>
    <w:rsid w:val="001A437C"/>
    <w:rsid w:val="001A56D9"/>
    <w:rsid w:val="001A6E1C"/>
    <w:rsid w:val="001A713E"/>
    <w:rsid w:val="001A7895"/>
    <w:rsid w:val="001B0855"/>
    <w:rsid w:val="001B1704"/>
    <w:rsid w:val="001B4BA8"/>
    <w:rsid w:val="001C2E6E"/>
    <w:rsid w:val="001C42CD"/>
    <w:rsid w:val="001C5CB7"/>
    <w:rsid w:val="001C7610"/>
    <w:rsid w:val="001C7653"/>
    <w:rsid w:val="001C7A4A"/>
    <w:rsid w:val="001D5FE0"/>
    <w:rsid w:val="001D7CB9"/>
    <w:rsid w:val="001E4382"/>
    <w:rsid w:val="001E4947"/>
    <w:rsid w:val="001E5675"/>
    <w:rsid w:val="001E6AD5"/>
    <w:rsid w:val="001F02A3"/>
    <w:rsid w:val="001F22CE"/>
    <w:rsid w:val="001F445B"/>
    <w:rsid w:val="00200B79"/>
    <w:rsid w:val="00202AE7"/>
    <w:rsid w:val="00202BD7"/>
    <w:rsid w:val="00202D64"/>
    <w:rsid w:val="00203B62"/>
    <w:rsid w:val="002055F0"/>
    <w:rsid w:val="00206A91"/>
    <w:rsid w:val="0021102B"/>
    <w:rsid w:val="002210AE"/>
    <w:rsid w:val="00222C19"/>
    <w:rsid w:val="0022406C"/>
    <w:rsid w:val="00224286"/>
    <w:rsid w:val="00225C1F"/>
    <w:rsid w:val="00225E32"/>
    <w:rsid w:val="00227470"/>
    <w:rsid w:val="00227B95"/>
    <w:rsid w:val="00227E92"/>
    <w:rsid w:val="00233914"/>
    <w:rsid w:val="00235B1D"/>
    <w:rsid w:val="00237130"/>
    <w:rsid w:val="002372ED"/>
    <w:rsid w:val="00243BB0"/>
    <w:rsid w:val="00243DAE"/>
    <w:rsid w:val="00244929"/>
    <w:rsid w:val="00245D84"/>
    <w:rsid w:val="0024719E"/>
    <w:rsid w:val="0025061F"/>
    <w:rsid w:val="0025266A"/>
    <w:rsid w:val="00252DA7"/>
    <w:rsid w:val="00256757"/>
    <w:rsid w:val="00257FEF"/>
    <w:rsid w:val="002625AD"/>
    <w:rsid w:val="002649E5"/>
    <w:rsid w:val="00270533"/>
    <w:rsid w:val="0027565C"/>
    <w:rsid w:val="00281BEA"/>
    <w:rsid w:val="00290AB7"/>
    <w:rsid w:val="00291C7B"/>
    <w:rsid w:val="00293F14"/>
    <w:rsid w:val="002942EF"/>
    <w:rsid w:val="00294389"/>
    <w:rsid w:val="002953C5"/>
    <w:rsid w:val="00297348"/>
    <w:rsid w:val="002A1D60"/>
    <w:rsid w:val="002B2683"/>
    <w:rsid w:val="002B2AF4"/>
    <w:rsid w:val="002B539F"/>
    <w:rsid w:val="002B6F56"/>
    <w:rsid w:val="002B74E1"/>
    <w:rsid w:val="002B78C1"/>
    <w:rsid w:val="002C1B0C"/>
    <w:rsid w:val="002C1B59"/>
    <w:rsid w:val="002C1C0C"/>
    <w:rsid w:val="002C46ED"/>
    <w:rsid w:val="002C5659"/>
    <w:rsid w:val="002C658D"/>
    <w:rsid w:val="002D16CD"/>
    <w:rsid w:val="002D6299"/>
    <w:rsid w:val="002E7242"/>
    <w:rsid w:val="002F2EC7"/>
    <w:rsid w:val="002F438E"/>
    <w:rsid w:val="002F7DAA"/>
    <w:rsid w:val="003048A9"/>
    <w:rsid w:val="00305FB6"/>
    <w:rsid w:val="00306BEA"/>
    <w:rsid w:val="00307A43"/>
    <w:rsid w:val="00310E07"/>
    <w:rsid w:val="00310E55"/>
    <w:rsid w:val="003206DD"/>
    <w:rsid w:val="00320D8F"/>
    <w:rsid w:val="00321B2F"/>
    <w:rsid w:val="00322981"/>
    <w:rsid w:val="00322D5A"/>
    <w:rsid w:val="003279F0"/>
    <w:rsid w:val="0033088F"/>
    <w:rsid w:val="00334249"/>
    <w:rsid w:val="00336323"/>
    <w:rsid w:val="00337594"/>
    <w:rsid w:val="003408B2"/>
    <w:rsid w:val="00341638"/>
    <w:rsid w:val="00342497"/>
    <w:rsid w:val="003440DB"/>
    <w:rsid w:val="003442C8"/>
    <w:rsid w:val="00350036"/>
    <w:rsid w:val="00351B68"/>
    <w:rsid w:val="00351C8C"/>
    <w:rsid w:val="00353133"/>
    <w:rsid w:val="00353590"/>
    <w:rsid w:val="00353924"/>
    <w:rsid w:val="00357851"/>
    <w:rsid w:val="003640C1"/>
    <w:rsid w:val="00367C7E"/>
    <w:rsid w:val="00370DA7"/>
    <w:rsid w:val="00372EB8"/>
    <w:rsid w:val="003732D9"/>
    <w:rsid w:val="0037486A"/>
    <w:rsid w:val="003771A7"/>
    <w:rsid w:val="00377848"/>
    <w:rsid w:val="0038133E"/>
    <w:rsid w:val="0038413F"/>
    <w:rsid w:val="003845EF"/>
    <w:rsid w:val="00397D2B"/>
    <w:rsid w:val="003A0B09"/>
    <w:rsid w:val="003A7006"/>
    <w:rsid w:val="003B1D61"/>
    <w:rsid w:val="003B40AC"/>
    <w:rsid w:val="003B569C"/>
    <w:rsid w:val="003C5989"/>
    <w:rsid w:val="003C6F2C"/>
    <w:rsid w:val="003C7062"/>
    <w:rsid w:val="003D0FDC"/>
    <w:rsid w:val="003D18E6"/>
    <w:rsid w:val="003D7EE8"/>
    <w:rsid w:val="003E4262"/>
    <w:rsid w:val="003E523D"/>
    <w:rsid w:val="003E7D31"/>
    <w:rsid w:val="004024A4"/>
    <w:rsid w:val="004032FE"/>
    <w:rsid w:val="0040475C"/>
    <w:rsid w:val="00411F7F"/>
    <w:rsid w:val="00412DA9"/>
    <w:rsid w:val="00413F4D"/>
    <w:rsid w:val="00420752"/>
    <w:rsid w:val="0042158E"/>
    <w:rsid w:val="004228D0"/>
    <w:rsid w:val="0043173F"/>
    <w:rsid w:val="00433A50"/>
    <w:rsid w:val="00435C9D"/>
    <w:rsid w:val="00441E8E"/>
    <w:rsid w:val="00442B7E"/>
    <w:rsid w:val="004448D0"/>
    <w:rsid w:val="00446CAB"/>
    <w:rsid w:val="004473CE"/>
    <w:rsid w:val="00450A23"/>
    <w:rsid w:val="00452877"/>
    <w:rsid w:val="00453D79"/>
    <w:rsid w:val="00453E4F"/>
    <w:rsid w:val="004641A7"/>
    <w:rsid w:val="004641CC"/>
    <w:rsid w:val="00470874"/>
    <w:rsid w:val="00472560"/>
    <w:rsid w:val="00472F52"/>
    <w:rsid w:val="00473C49"/>
    <w:rsid w:val="0047660D"/>
    <w:rsid w:val="00477782"/>
    <w:rsid w:val="004806AA"/>
    <w:rsid w:val="00483AA8"/>
    <w:rsid w:val="004910D5"/>
    <w:rsid w:val="00496D8B"/>
    <w:rsid w:val="0049766D"/>
    <w:rsid w:val="004A1F78"/>
    <w:rsid w:val="004A2158"/>
    <w:rsid w:val="004A34D5"/>
    <w:rsid w:val="004A6503"/>
    <w:rsid w:val="004A7831"/>
    <w:rsid w:val="004A7E2F"/>
    <w:rsid w:val="004B47EB"/>
    <w:rsid w:val="004C08B8"/>
    <w:rsid w:val="004C23D7"/>
    <w:rsid w:val="004C3FDC"/>
    <w:rsid w:val="004C7461"/>
    <w:rsid w:val="004C7588"/>
    <w:rsid w:val="004C7D4D"/>
    <w:rsid w:val="004D5AF7"/>
    <w:rsid w:val="004D6471"/>
    <w:rsid w:val="004E3794"/>
    <w:rsid w:val="004E3D24"/>
    <w:rsid w:val="004E40F8"/>
    <w:rsid w:val="004F70A7"/>
    <w:rsid w:val="0050209C"/>
    <w:rsid w:val="00502543"/>
    <w:rsid w:val="0050328F"/>
    <w:rsid w:val="00507B5F"/>
    <w:rsid w:val="00510CB5"/>
    <w:rsid w:val="00517016"/>
    <w:rsid w:val="00517E3C"/>
    <w:rsid w:val="005220DC"/>
    <w:rsid w:val="00523C6C"/>
    <w:rsid w:val="00532CBB"/>
    <w:rsid w:val="005339A0"/>
    <w:rsid w:val="00533D15"/>
    <w:rsid w:val="00541958"/>
    <w:rsid w:val="0055271C"/>
    <w:rsid w:val="00555279"/>
    <w:rsid w:val="0055745E"/>
    <w:rsid w:val="00561D08"/>
    <w:rsid w:val="00566453"/>
    <w:rsid w:val="005705FE"/>
    <w:rsid w:val="00572DEC"/>
    <w:rsid w:val="00573DA6"/>
    <w:rsid w:val="005808F3"/>
    <w:rsid w:val="00582648"/>
    <w:rsid w:val="00582E72"/>
    <w:rsid w:val="005849AF"/>
    <w:rsid w:val="00586F78"/>
    <w:rsid w:val="005870BF"/>
    <w:rsid w:val="0058788E"/>
    <w:rsid w:val="00591E10"/>
    <w:rsid w:val="005922C9"/>
    <w:rsid w:val="005938E5"/>
    <w:rsid w:val="005952FD"/>
    <w:rsid w:val="005A1311"/>
    <w:rsid w:val="005A1DA9"/>
    <w:rsid w:val="005A1FF5"/>
    <w:rsid w:val="005B0A6C"/>
    <w:rsid w:val="005B1CC8"/>
    <w:rsid w:val="005B4E73"/>
    <w:rsid w:val="005C3533"/>
    <w:rsid w:val="005C3AED"/>
    <w:rsid w:val="005C4555"/>
    <w:rsid w:val="005C4828"/>
    <w:rsid w:val="005C756C"/>
    <w:rsid w:val="005C7F16"/>
    <w:rsid w:val="005C7FC2"/>
    <w:rsid w:val="005D5D38"/>
    <w:rsid w:val="005D6392"/>
    <w:rsid w:val="005E0DE7"/>
    <w:rsid w:val="005E7932"/>
    <w:rsid w:val="005F0551"/>
    <w:rsid w:val="005F0DB9"/>
    <w:rsid w:val="005F3FA5"/>
    <w:rsid w:val="005F7D7E"/>
    <w:rsid w:val="00600B41"/>
    <w:rsid w:val="006046C2"/>
    <w:rsid w:val="00605155"/>
    <w:rsid w:val="00605627"/>
    <w:rsid w:val="00611617"/>
    <w:rsid w:val="00611DC1"/>
    <w:rsid w:val="00612ADF"/>
    <w:rsid w:val="00615D6E"/>
    <w:rsid w:val="00620DE6"/>
    <w:rsid w:val="00622489"/>
    <w:rsid w:val="00625253"/>
    <w:rsid w:val="00625CFE"/>
    <w:rsid w:val="00625D8C"/>
    <w:rsid w:val="00637417"/>
    <w:rsid w:val="00640882"/>
    <w:rsid w:val="00647F3C"/>
    <w:rsid w:val="00651018"/>
    <w:rsid w:val="0065361A"/>
    <w:rsid w:val="00653B41"/>
    <w:rsid w:val="006546A6"/>
    <w:rsid w:val="0065539D"/>
    <w:rsid w:val="00655567"/>
    <w:rsid w:val="00663101"/>
    <w:rsid w:val="006635C5"/>
    <w:rsid w:val="0066503F"/>
    <w:rsid w:val="0066655F"/>
    <w:rsid w:val="00666D5C"/>
    <w:rsid w:val="00671719"/>
    <w:rsid w:val="006718F9"/>
    <w:rsid w:val="0067428E"/>
    <w:rsid w:val="0067653F"/>
    <w:rsid w:val="006808A7"/>
    <w:rsid w:val="006818D6"/>
    <w:rsid w:val="00682E57"/>
    <w:rsid w:val="006911FD"/>
    <w:rsid w:val="00693160"/>
    <w:rsid w:val="00694AA6"/>
    <w:rsid w:val="00695B02"/>
    <w:rsid w:val="006A12AB"/>
    <w:rsid w:val="006A4476"/>
    <w:rsid w:val="006B09DB"/>
    <w:rsid w:val="006B2BCE"/>
    <w:rsid w:val="006B51D2"/>
    <w:rsid w:val="006B6ACD"/>
    <w:rsid w:val="006B741A"/>
    <w:rsid w:val="006B7719"/>
    <w:rsid w:val="006C0619"/>
    <w:rsid w:val="006C0C6B"/>
    <w:rsid w:val="006D2DE7"/>
    <w:rsid w:val="006D3F55"/>
    <w:rsid w:val="006D6F94"/>
    <w:rsid w:val="006E2C93"/>
    <w:rsid w:val="006E4A7E"/>
    <w:rsid w:val="006E7ABD"/>
    <w:rsid w:val="006E7C96"/>
    <w:rsid w:val="006F010E"/>
    <w:rsid w:val="006F2631"/>
    <w:rsid w:val="006F2BA5"/>
    <w:rsid w:val="006F6D36"/>
    <w:rsid w:val="006F73E7"/>
    <w:rsid w:val="00701D96"/>
    <w:rsid w:val="00702536"/>
    <w:rsid w:val="00704F54"/>
    <w:rsid w:val="00706090"/>
    <w:rsid w:val="00707C7C"/>
    <w:rsid w:val="00710FCC"/>
    <w:rsid w:val="0071244C"/>
    <w:rsid w:val="0071318B"/>
    <w:rsid w:val="00715C37"/>
    <w:rsid w:val="007178C2"/>
    <w:rsid w:val="00730AD3"/>
    <w:rsid w:val="007339CF"/>
    <w:rsid w:val="00735BE6"/>
    <w:rsid w:val="00737564"/>
    <w:rsid w:val="0073763F"/>
    <w:rsid w:val="0074124A"/>
    <w:rsid w:val="007434FC"/>
    <w:rsid w:val="0074569C"/>
    <w:rsid w:val="00745DAF"/>
    <w:rsid w:val="007507C4"/>
    <w:rsid w:val="00752C79"/>
    <w:rsid w:val="00754443"/>
    <w:rsid w:val="0075636E"/>
    <w:rsid w:val="00760D31"/>
    <w:rsid w:val="00762C97"/>
    <w:rsid w:val="00765900"/>
    <w:rsid w:val="0077029F"/>
    <w:rsid w:val="00772243"/>
    <w:rsid w:val="00772A61"/>
    <w:rsid w:val="00773F68"/>
    <w:rsid w:val="00775121"/>
    <w:rsid w:val="00786F5B"/>
    <w:rsid w:val="007879B0"/>
    <w:rsid w:val="00796D26"/>
    <w:rsid w:val="007A09AF"/>
    <w:rsid w:val="007A1AFF"/>
    <w:rsid w:val="007A56E1"/>
    <w:rsid w:val="007A70D1"/>
    <w:rsid w:val="007C15A4"/>
    <w:rsid w:val="007C34D0"/>
    <w:rsid w:val="007C365B"/>
    <w:rsid w:val="007C4D10"/>
    <w:rsid w:val="007D09CE"/>
    <w:rsid w:val="007D1FFE"/>
    <w:rsid w:val="007D30A9"/>
    <w:rsid w:val="007D5107"/>
    <w:rsid w:val="007D61DA"/>
    <w:rsid w:val="007D7520"/>
    <w:rsid w:val="007E04DF"/>
    <w:rsid w:val="007E1C99"/>
    <w:rsid w:val="007E225E"/>
    <w:rsid w:val="007E2DFA"/>
    <w:rsid w:val="007E6AD2"/>
    <w:rsid w:val="007F0CDC"/>
    <w:rsid w:val="007F2763"/>
    <w:rsid w:val="007F68F7"/>
    <w:rsid w:val="007F6EFC"/>
    <w:rsid w:val="0080073F"/>
    <w:rsid w:val="00801D2C"/>
    <w:rsid w:val="00806F05"/>
    <w:rsid w:val="008070D4"/>
    <w:rsid w:val="008106AF"/>
    <w:rsid w:val="00813B14"/>
    <w:rsid w:val="00816CB4"/>
    <w:rsid w:val="00817FFD"/>
    <w:rsid w:val="00822492"/>
    <w:rsid w:val="00822BAD"/>
    <w:rsid w:val="008237B0"/>
    <w:rsid w:val="00825624"/>
    <w:rsid w:val="008313EE"/>
    <w:rsid w:val="00833171"/>
    <w:rsid w:val="008359B4"/>
    <w:rsid w:val="00837005"/>
    <w:rsid w:val="00841A37"/>
    <w:rsid w:val="008443B1"/>
    <w:rsid w:val="008446B6"/>
    <w:rsid w:val="00844DE0"/>
    <w:rsid w:val="00845032"/>
    <w:rsid w:val="00845C90"/>
    <w:rsid w:val="008470E0"/>
    <w:rsid w:val="00850830"/>
    <w:rsid w:val="008518FA"/>
    <w:rsid w:val="00862DBE"/>
    <w:rsid w:val="008663FB"/>
    <w:rsid w:val="00873B61"/>
    <w:rsid w:val="0087686B"/>
    <w:rsid w:val="00877D74"/>
    <w:rsid w:val="008813B7"/>
    <w:rsid w:val="00881BDF"/>
    <w:rsid w:val="00884B2E"/>
    <w:rsid w:val="0088663C"/>
    <w:rsid w:val="00886662"/>
    <w:rsid w:val="00891A90"/>
    <w:rsid w:val="00891D68"/>
    <w:rsid w:val="00893FCB"/>
    <w:rsid w:val="00894AF5"/>
    <w:rsid w:val="00897331"/>
    <w:rsid w:val="008A2DB3"/>
    <w:rsid w:val="008A3BE6"/>
    <w:rsid w:val="008A4148"/>
    <w:rsid w:val="008A5C3D"/>
    <w:rsid w:val="008A69B7"/>
    <w:rsid w:val="008B154D"/>
    <w:rsid w:val="008B4E78"/>
    <w:rsid w:val="008B4EB4"/>
    <w:rsid w:val="008B528E"/>
    <w:rsid w:val="008B57A0"/>
    <w:rsid w:val="008C1B9B"/>
    <w:rsid w:val="008C24BE"/>
    <w:rsid w:val="008C50A5"/>
    <w:rsid w:val="008C60A6"/>
    <w:rsid w:val="008C67C1"/>
    <w:rsid w:val="008C7B99"/>
    <w:rsid w:val="008D0F62"/>
    <w:rsid w:val="008D2701"/>
    <w:rsid w:val="008D454B"/>
    <w:rsid w:val="008D4565"/>
    <w:rsid w:val="008D525E"/>
    <w:rsid w:val="008D719D"/>
    <w:rsid w:val="008E2B77"/>
    <w:rsid w:val="008E4EA6"/>
    <w:rsid w:val="008E6DDA"/>
    <w:rsid w:val="008F0274"/>
    <w:rsid w:val="008F1E55"/>
    <w:rsid w:val="008F3BA0"/>
    <w:rsid w:val="008F5370"/>
    <w:rsid w:val="008F5FEF"/>
    <w:rsid w:val="00901099"/>
    <w:rsid w:val="009011B1"/>
    <w:rsid w:val="009128CA"/>
    <w:rsid w:val="00916098"/>
    <w:rsid w:val="00921ED6"/>
    <w:rsid w:val="009226AF"/>
    <w:rsid w:val="00925ADD"/>
    <w:rsid w:val="009260B2"/>
    <w:rsid w:val="00927CD8"/>
    <w:rsid w:val="00934820"/>
    <w:rsid w:val="00935388"/>
    <w:rsid w:val="0093593B"/>
    <w:rsid w:val="00935F22"/>
    <w:rsid w:val="009373C9"/>
    <w:rsid w:val="00940184"/>
    <w:rsid w:val="00941C08"/>
    <w:rsid w:val="00942155"/>
    <w:rsid w:val="00942692"/>
    <w:rsid w:val="00943F43"/>
    <w:rsid w:val="00944805"/>
    <w:rsid w:val="00950E7A"/>
    <w:rsid w:val="009542D1"/>
    <w:rsid w:val="00956692"/>
    <w:rsid w:val="00957326"/>
    <w:rsid w:val="00960F7F"/>
    <w:rsid w:val="009652BC"/>
    <w:rsid w:val="00966F3F"/>
    <w:rsid w:val="009672A3"/>
    <w:rsid w:val="009729B6"/>
    <w:rsid w:val="00972C6F"/>
    <w:rsid w:val="0097392F"/>
    <w:rsid w:val="009764FA"/>
    <w:rsid w:val="00976965"/>
    <w:rsid w:val="00976DE4"/>
    <w:rsid w:val="00977A65"/>
    <w:rsid w:val="00977F3E"/>
    <w:rsid w:val="00983178"/>
    <w:rsid w:val="0098334D"/>
    <w:rsid w:val="0098620F"/>
    <w:rsid w:val="0098680E"/>
    <w:rsid w:val="009901C9"/>
    <w:rsid w:val="009904C4"/>
    <w:rsid w:val="009908CD"/>
    <w:rsid w:val="0099103E"/>
    <w:rsid w:val="009A0E9F"/>
    <w:rsid w:val="009A1667"/>
    <w:rsid w:val="009B0A44"/>
    <w:rsid w:val="009B0E60"/>
    <w:rsid w:val="009B0E79"/>
    <w:rsid w:val="009B256C"/>
    <w:rsid w:val="009B2AE2"/>
    <w:rsid w:val="009B2D50"/>
    <w:rsid w:val="009B6E86"/>
    <w:rsid w:val="009B6EA2"/>
    <w:rsid w:val="009C288C"/>
    <w:rsid w:val="009C454E"/>
    <w:rsid w:val="009C4ADD"/>
    <w:rsid w:val="009C79BE"/>
    <w:rsid w:val="009D5D6C"/>
    <w:rsid w:val="009E05D0"/>
    <w:rsid w:val="009E10F1"/>
    <w:rsid w:val="009E3B6E"/>
    <w:rsid w:val="009F1084"/>
    <w:rsid w:val="009F2B55"/>
    <w:rsid w:val="009F2F38"/>
    <w:rsid w:val="009F3023"/>
    <w:rsid w:val="009F56DE"/>
    <w:rsid w:val="009F6346"/>
    <w:rsid w:val="009F74D6"/>
    <w:rsid w:val="00A00CD5"/>
    <w:rsid w:val="00A03764"/>
    <w:rsid w:val="00A042F4"/>
    <w:rsid w:val="00A10B0C"/>
    <w:rsid w:val="00A11CB9"/>
    <w:rsid w:val="00A155D2"/>
    <w:rsid w:val="00A2082B"/>
    <w:rsid w:val="00A22FD5"/>
    <w:rsid w:val="00A233ED"/>
    <w:rsid w:val="00A26860"/>
    <w:rsid w:val="00A34A80"/>
    <w:rsid w:val="00A3661A"/>
    <w:rsid w:val="00A4388A"/>
    <w:rsid w:val="00A4427C"/>
    <w:rsid w:val="00A475E0"/>
    <w:rsid w:val="00A51FA3"/>
    <w:rsid w:val="00A55F35"/>
    <w:rsid w:val="00A5639A"/>
    <w:rsid w:val="00A568D0"/>
    <w:rsid w:val="00A5792B"/>
    <w:rsid w:val="00A618D0"/>
    <w:rsid w:val="00A62992"/>
    <w:rsid w:val="00A62A18"/>
    <w:rsid w:val="00A65F4B"/>
    <w:rsid w:val="00A65F91"/>
    <w:rsid w:val="00A66B28"/>
    <w:rsid w:val="00A70855"/>
    <w:rsid w:val="00A70D42"/>
    <w:rsid w:val="00A73B57"/>
    <w:rsid w:val="00A7434E"/>
    <w:rsid w:val="00A76945"/>
    <w:rsid w:val="00A77A50"/>
    <w:rsid w:val="00A80224"/>
    <w:rsid w:val="00A830D1"/>
    <w:rsid w:val="00A85493"/>
    <w:rsid w:val="00A9324D"/>
    <w:rsid w:val="00A93AE6"/>
    <w:rsid w:val="00A94D14"/>
    <w:rsid w:val="00AA72C5"/>
    <w:rsid w:val="00AB0266"/>
    <w:rsid w:val="00AB48A0"/>
    <w:rsid w:val="00AB4A14"/>
    <w:rsid w:val="00AB7ACA"/>
    <w:rsid w:val="00AC10AF"/>
    <w:rsid w:val="00AC154C"/>
    <w:rsid w:val="00AC2D33"/>
    <w:rsid w:val="00AC39FE"/>
    <w:rsid w:val="00AC6B4A"/>
    <w:rsid w:val="00AD0002"/>
    <w:rsid w:val="00AD3E01"/>
    <w:rsid w:val="00AD5791"/>
    <w:rsid w:val="00AD77BC"/>
    <w:rsid w:val="00AD7EEE"/>
    <w:rsid w:val="00AE2DE1"/>
    <w:rsid w:val="00AE61EE"/>
    <w:rsid w:val="00AE6BF5"/>
    <w:rsid w:val="00AE740F"/>
    <w:rsid w:val="00AF4C46"/>
    <w:rsid w:val="00AF51CA"/>
    <w:rsid w:val="00AF624D"/>
    <w:rsid w:val="00B010B1"/>
    <w:rsid w:val="00B101E5"/>
    <w:rsid w:val="00B1026E"/>
    <w:rsid w:val="00B119C5"/>
    <w:rsid w:val="00B11C7E"/>
    <w:rsid w:val="00B12587"/>
    <w:rsid w:val="00B12BB3"/>
    <w:rsid w:val="00B130F1"/>
    <w:rsid w:val="00B13D9F"/>
    <w:rsid w:val="00B14EFF"/>
    <w:rsid w:val="00B16C3B"/>
    <w:rsid w:val="00B173A5"/>
    <w:rsid w:val="00B25901"/>
    <w:rsid w:val="00B261C1"/>
    <w:rsid w:val="00B30F97"/>
    <w:rsid w:val="00B363ED"/>
    <w:rsid w:val="00B427B2"/>
    <w:rsid w:val="00B43634"/>
    <w:rsid w:val="00B4417F"/>
    <w:rsid w:val="00B45709"/>
    <w:rsid w:val="00B53F23"/>
    <w:rsid w:val="00B5414F"/>
    <w:rsid w:val="00B57069"/>
    <w:rsid w:val="00B5755D"/>
    <w:rsid w:val="00B64FC0"/>
    <w:rsid w:val="00B667C1"/>
    <w:rsid w:val="00B66BAE"/>
    <w:rsid w:val="00B679EB"/>
    <w:rsid w:val="00B67D3A"/>
    <w:rsid w:val="00B75513"/>
    <w:rsid w:val="00B76E8F"/>
    <w:rsid w:val="00B77AAF"/>
    <w:rsid w:val="00B77E15"/>
    <w:rsid w:val="00B80AA2"/>
    <w:rsid w:val="00B84728"/>
    <w:rsid w:val="00B935E0"/>
    <w:rsid w:val="00B96807"/>
    <w:rsid w:val="00B97A42"/>
    <w:rsid w:val="00BA1D95"/>
    <w:rsid w:val="00BA2990"/>
    <w:rsid w:val="00BA6A16"/>
    <w:rsid w:val="00BA6C55"/>
    <w:rsid w:val="00BB038D"/>
    <w:rsid w:val="00BB14B2"/>
    <w:rsid w:val="00BB2640"/>
    <w:rsid w:val="00BB7CA6"/>
    <w:rsid w:val="00BC04C2"/>
    <w:rsid w:val="00BC4441"/>
    <w:rsid w:val="00BC61E6"/>
    <w:rsid w:val="00BC658F"/>
    <w:rsid w:val="00BC707E"/>
    <w:rsid w:val="00BD116A"/>
    <w:rsid w:val="00BD6693"/>
    <w:rsid w:val="00BE10B6"/>
    <w:rsid w:val="00BE2FA1"/>
    <w:rsid w:val="00BE339D"/>
    <w:rsid w:val="00BE69B6"/>
    <w:rsid w:val="00BF036E"/>
    <w:rsid w:val="00BF19D9"/>
    <w:rsid w:val="00C057C5"/>
    <w:rsid w:val="00C05EBE"/>
    <w:rsid w:val="00C10EC7"/>
    <w:rsid w:val="00C11E9D"/>
    <w:rsid w:val="00C12127"/>
    <w:rsid w:val="00C1263D"/>
    <w:rsid w:val="00C12AD8"/>
    <w:rsid w:val="00C12E72"/>
    <w:rsid w:val="00C15D78"/>
    <w:rsid w:val="00C215D2"/>
    <w:rsid w:val="00C22B99"/>
    <w:rsid w:val="00C24215"/>
    <w:rsid w:val="00C31227"/>
    <w:rsid w:val="00C32059"/>
    <w:rsid w:val="00C329DE"/>
    <w:rsid w:val="00C34C13"/>
    <w:rsid w:val="00C40869"/>
    <w:rsid w:val="00C44718"/>
    <w:rsid w:val="00C506CB"/>
    <w:rsid w:val="00C53571"/>
    <w:rsid w:val="00C54544"/>
    <w:rsid w:val="00C55486"/>
    <w:rsid w:val="00C6137B"/>
    <w:rsid w:val="00C62C9D"/>
    <w:rsid w:val="00C66E37"/>
    <w:rsid w:val="00C73787"/>
    <w:rsid w:val="00C754F5"/>
    <w:rsid w:val="00C835F1"/>
    <w:rsid w:val="00C84E43"/>
    <w:rsid w:val="00C86AA6"/>
    <w:rsid w:val="00C90A9D"/>
    <w:rsid w:val="00C939F3"/>
    <w:rsid w:val="00C960F2"/>
    <w:rsid w:val="00CA402A"/>
    <w:rsid w:val="00CA4639"/>
    <w:rsid w:val="00CA557C"/>
    <w:rsid w:val="00CA5EEE"/>
    <w:rsid w:val="00CA765C"/>
    <w:rsid w:val="00CB3025"/>
    <w:rsid w:val="00CB3BBA"/>
    <w:rsid w:val="00CB459F"/>
    <w:rsid w:val="00CB6128"/>
    <w:rsid w:val="00CD1B01"/>
    <w:rsid w:val="00CD6661"/>
    <w:rsid w:val="00CE098C"/>
    <w:rsid w:val="00CE09EA"/>
    <w:rsid w:val="00CE1128"/>
    <w:rsid w:val="00CE590E"/>
    <w:rsid w:val="00CF2282"/>
    <w:rsid w:val="00CF231D"/>
    <w:rsid w:val="00CF2F7F"/>
    <w:rsid w:val="00CF3FF8"/>
    <w:rsid w:val="00CF71D4"/>
    <w:rsid w:val="00D00518"/>
    <w:rsid w:val="00D00A8B"/>
    <w:rsid w:val="00D021AD"/>
    <w:rsid w:val="00D0699A"/>
    <w:rsid w:val="00D076D6"/>
    <w:rsid w:val="00D1133E"/>
    <w:rsid w:val="00D12F69"/>
    <w:rsid w:val="00D22EA7"/>
    <w:rsid w:val="00D25218"/>
    <w:rsid w:val="00D3033E"/>
    <w:rsid w:val="00D31D08"/>
    <w:rsid w:val="00D36D6D"/>
    <w:rsid w:val="00D403AE"/>
    <w:rsid w:val="00D40DE3"/>
    <w:rsid w:val="00D419D6"/>
    <w:rsid w:val="00D41EBE"/>
    <w:rsid w:val="00D44A80"/>
    <w:rsid w:val="00D46481"/>
    <w:rsid w:val="00D469AC"/>
    <w:rsid w:val="00D47124"/>
    <w:rsid w:val="00D50338"/>
    <w:rsid w:val="00D50D19"/>
    <w:rsid w:val="00D54271"/>
    <w:rsid w:val="00D55441"/>
    <w:rsid w:val="00D6178D"/>
    <w:rsid w:val="00D66F1F"/>
    <w:rsid w:val="00D7057F"/>
    <w:rsid w:val="00D7533F"/>
    <w:rsid w:val="00D80D91"/>
    <w:rsid w:val="00D83100"/>
    <w:rsid w:val="00D83AF4"/>
    <w:rsid w:val="00D875CD"/>
    <w:rsid w:val="00D915FC"/>
    <w:rsid w:val="00D921A1"/>
    <w:rsid w:val="00D93E7C"/>
    <w:rsid w:val="00D95847"/>
    <w:rsid w:val="00D9664B"/>
    <w:rsid w:val="00D96CEC"/>
    <w:rsid w:val="00DA08B7"/>
    <w:rsid w:val="00DA3EA2"/>
    <w:rsid w:val="00DA580A"/>
    <w:rsid w:val="00DB2BE2"/>
    <w:rsid w:val="00DB3715"/>
    <w:rsid w:val="00DB46D2"/>
    <w:rsid w:val="00DB6822"/>
    <w:rsid w:val="00DB7506"/>
    <w:rsid w:val="00DC23B5"/>
    <w:rsid w:val="00DC5125"/>
    <w:rsid w:val="00DD04A8"/>
    <w:rsid w:val="00DD1F10"/>
    <w:rsid w:val="00DD26CB"/>
    <w:rsid w:val="00DD2B55"/>
    <w:rsid w:val="00DD3E72"/>
    <w:rsid w:val="00DD41A0"/>
    <w:rsid w:val="00DD640E"/>
    <w:rsid w:val="00DD6CD0"/>
    <w:rsid w:val="00DE292A"/>
    <w:rsid w:val="00DE2A55"/>
    <w:rsid w:val="00DE4960"/>
    <w:rsid w:val="00DE6B08"/>
    <w:rsid w:val="00DE74B2"/>
    <w:rsid w:val="00DE7567"/>
    <w:rsid w:val="00DF0961"/>
    <w:rsid w:val="00DF2E67"/>
    <w:rsid w:val="00DF508A"/>
    <w:rsid w:val="00E005A5"/>
    <w:rsid w:val="00E01014"/>
    <w:rsid w:val="00E06DA7"/>
    <w:rsid w:val="00E07277"/>
    <w:rsid w:val="00E106FA"/>
    <w:rsid w:val="00E10F04"/>
    <w:rsid w:val="00E1322C"/>
    <w:rsid w:val="00E14B4E"/>
    <w:rsid w:val="00E151A6"/>
    <w:rsid w:val="00E16AEC"/>
    <w:rsid w:val="00E22C27"/>
    <w:rsid w:val="00E24E84"/>
    <w:rsid w:val="00E25837"/>
    <w:rsid w:val="00E279D8"/>
    <w:rsid w:val="00E30120"/>
    <w:rsid w:val="00E34131"/>
    <w:rsid w:val="00E42CE7"/>
    <w:rsid w:val="00E45B1D"/>
    <w:rsid w:val="00E4756B"/>
    <w:rsid w:val="00E5488A"/>
    <w:rsid w:val="00E574D9"/>
    <w:rsid w:val="00E614C8"/>
    <w:rsid w:val="00E633A1"/>
    <w:rsid w:val="00E651F7"/>
    <w:rsid w:val="00E668D6"/>
    <w:rsid w:val="00E71A18"/>
    <w:rsid w:val="00E7275C"/>
    <w:rsid w:val="00E7550C"/>
    <w:rsid w:val="00E76830"/>
    <w:rsid w:val="00E82EF1"/>
    <w:rsid w:val="00E85AFF"/>
    <w:rsid w:val="00E962CC"/>
    <w:rsid w:val="00E97E61"/>
    <w:rsid w:val="00EA0DF7"/>
    <w:rsid w:val="00EA0FDD"/>
    <w:rsid w:val="00EA24A7"/>
    <w:rsid w:val="00EA4002"/>
    <w:rsid w:val="00EA53AA"/>
    <w:rsid w:val="00EB2BD8"/>
    <w:rsid w:val="00EB5383"/>
    <w:rsid w:val="00EB661F"/>
    <w:rsid w:val="00EC1B20"/>
    <w:rsid w:val="00EC2F70"/>
    <w:rsid w:val="00EC4F23"/>
    <w:rsid w:val="00ED2804"/>
    <w:rsid w:val="00ED6792"/>
    <w:rsid w:val="00ED67F1"/>
    <w:rsid w:val="00EE1411"/>
    <w:rsid w:val="00EE23D6"/>
    <w:rsid w:val="00EE2BD9"/>
    <w:rsid w:val="00EF60C9"/>
    <w:rsid w:val="00EF7CB7"/>
    <w:rsid w:val="00F05BC3"/>
    <w:rsid w:val="00F0652B"/>
    <w:rsid w:val="00F06B1B"/>
    <w:rsid w:val="00F115A0"/>
    <w:rsid w:val="00F129F1"/>
    <w:rsid w:val="00F12A84"/>
    <w:rsid w:val="00F1398D"/>
    <w:rsid w:val="00F143AC"/>
    <w:rsid w:val="00F15620"/>
    <w:rsid w:val="00F15AF4"/>
    <w:rsid w:val="00F33247"/>
    <w:rsid w:val="00F33678"/>
    <w:rsid w:val="00F50763"/>
    <w:rsid w:val="00F50EB6"/>
    <w:rsid w:val="00F515A0"/>
    <w:rsid w:val="00F5682E"/>
    <w:rsid w:val="00F57DF4"/>
    <w:rsid w:val="00F616ED"/>
    <w:rsid w:val="00F65820"/>
    <w:rsid w:val="00F715B7"/>
    <w:rsid w:val="00F74302"/>
    <w:rsid w:val="00F75E08"/>
    <w:rsid w:val="00F815D5"/>
    <w:rsid w:val="00F81DA3"/>
    <w:rsid w:val="00F86C43"/>
    <w:rsid w:val="00F92501"/>
    <w:rsid w:val="00F940A1"/>
    <w:rsid w:val="00F9446C"/>
    <w:rsid w:val="00FA2871"/>
    <w:rsid w:val="00FA2AB5"/>
    <w:rsid w:val="00FA4DBE"/>
    <w:rsid w:val="00FA72D2"/>
    <w:rsid w:val="00FA772D"/>
    <w:rsid w:val="00FA7929"/>
    <w:rsid w:val="00FA7B3F"/>
    <w:rsid w:val="00FA7CDC"/>
    <w:rsid w:val="00FB1C1B"/>
    <w:rsid w:val="00FB4D19"/>
    <w:rsid w:val="00FB762B"/>
    <w:rsid w:val="00FB772F"/>
    <w:rsid w:val="00FC416D"/>
    <w:rsid w:val="00FC7A9E"/>
    <w:rsid w:val="00FD0C2D"/>
    <w:rsid w:val="00FD2191"/>
    <w:rsid w:val="00FD676F"/>
    <w:rsid w:val="00FE1E0D"/>
    <w:rsid w:val="00FE47A2"/>
    <w:rsid w:val="00FF16EF"/>
    <w:rsid w:val="00FF2798"/>
    <w:rsid w:val="00FF2D61"/>
    <w:rsid w:val="00FF49E6"/>
    <w:rsid w:val="00FF4AEA"/>
    <w:rsid w:val="00FF5DB1"/>
    <w:rsid w:val="7197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C7104"/>
  <w15:docId w15:val="{30E8EC4D-3F28-B14B-A7A4-725C1F28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napToGrid w:val="0"/>
        <w:sz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61A"/>
    <w:pPr>
      <w:spacing w:after="0"/>
    </w:pPr>
  </w:style>
  <w:style w:type="paragraph" w:styleId="Heading1">
    <w:name w:val="heading 1"/>
    <w:basedOn w:val="Normal"/>
    <w:next w:val="BodyText"/>
    <w:link w:val="Heading1Char"/>
    <w:qFormat/>
    <w:rsid w:val="00E614C8"/>
    <w:pPr>
      <w:keepNext/>
      <w:keepLines/>
      <w:numPr>
        <w:numId w:val="12"/>
      </w:numPr>
      <w:spacing w:after="120"/>
      <w:outlineLvl w:val="0"/>
    </w:pPr>
    <w:rPr>
      <w:color w:val="009696"/>
      <w:sz w:val="40"/>
      <w:szCs w:val="40"/>
    </w:rPr>
  </w:style>
  <w:style w:type="paragraph" w:styleId="Heading2">
    <w:name w:val="heading 2"/>
    <w:basedOn w:val="Normal"/>
    <w:next w:val="BodyText"/>
    <w:qFormat/>
    <w:rsid w:val="002B539F"/>
    <w:pPr>
      <w:keepNext/>
      <w:keepLines/>
      <w:spacing w:after="120"/>
      <w:ind w:left="720"/>
      <w:outlineLvl w:val="1"/>
    </w:pPr>
    <w:rPr>
      <w:color w:val="009696"/>
      <w:sz w:val="28"/>
      <w:szCs w:val="28"/>
    </w:rPr>
  </w:style>
  <w:style w:type="paragraph" w:styleId="Heading3">
    <w:name w:val="heading 3"/>
    <w:basedOn w:val="Normal"/>
    <w:next w:val="BodyText"/>
    <w:qFormat/>
    <w:rsid w:val="002B539F"/>
    <w:pPr>
      <w:keepNext/>
      <w:keepLines/>
      <w:spacing w:after="120"/>
      <w:ind w:left="720"/>
      <w:outlineLvl w:val="2"/>
    </w:pPr>
    <w:rPr>
      <w:color w:val="009696"/>
      <w:szCs w:val="24"/>
    </w:rPr>
  </w:style>
  <w:style w:type="paragraph" w:styleId="Heading4">
    <w:name w:val="heading 4"/>
    <w:basedOn w:val="Normal"/>
    <w:next w:val="BodyText"/>
    <w:qFormat/>
    <w:rsid w:val="002B539F"/>
    <w:pPr>
      <w:keepNext/>
      <w:keepLines/>
      <w:spacing w:after="120"/>
      <w:ind w:left="720"/>
      <w:outlineLvl w:val="3"/>
    </w:pPr>
    <w:rPr>
      <w:szCs w:val="24"/>
    </w:rPr>
  </w:style>
  <w:style w:type="paragraph" w:styleId="Heading5">
    <w:name w:val="heading 5"/>
    <w:basedOn w:val="Normal"/>
    <w:next w:val="Normal"/>
    <w:link w:val="Heading5Char"/>
    <w:unhideWhenUsed/>
    <w:rsid w:val="00EA24A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AD7EEE"/>
    <w:pPr>
      <w:keepNext/>
      <w:keepLines/>
      <w:spacing w:before="40"/>
      <w:ind w:left="1152" w:hanging="1152"/>
      <w:outlineLvl w:val="5"/>
    </w:pPr>
    <w:rPr>
      <w:rFonts w:ascii="Cambria" w:hAnsi="Cambria" w:cs="Times New Roman"/>
      <w:snapToGrid/>
      <w:color w:val="243F60"/>
      <w:szCs w:val="24"/>
    </w:rPr>
  </w:style>
  <w:style w:type="paragraph" w:styleId="Heading7">
    <w:name w:val="heading 7"/>
    <w:basedOn w:val="Normal"/>
    <w:next w:val="Normal"/>
    <w:link w:val="Heading7Char"/>
    <w:rsid w:val="00AD7EEE"/>
    <w:pPr>
      <w:keepNext/>
      <w:keepLines/>
      <w:spacing w:before="40"/>
      <w:ind w:left="1296" w:hanging="1296"/>
      <w:outlineLvl w:val="6"/>
    </w:pPr>
    <w:rPr>
      <w:rFonts w:ascii="Cambria" w:hAnsi="Cambria" w:cs="Times New Roman"/>
      <w:i/>
      <w:iCs/>
      <w:snapToGrid/>
      <w:color w:val="243F60"/>
      <w:szCs w:val="24"/>
    </w:rPr>
  </w:style>
  <w:style w:type="paragraph" w:styleId="Heading8">
    <w:name w:val="heading 8"/>
    <w:basedOn w:val="Normal"/>
    <w:next w:val="Normal"/>
    <w:link w:val="Heading8Char"/>
    <w:rsid w:val="00AD7EEE"/>
    <w:pPr>
      <w:keepNext/>
      <w:keepLines/>
      <w:spacing w:before="40"/>
      <w:ind w:left="1440" w:hanging="1440"/>
      <w:outlineLvl w:val="7"/>
    </w:pPr>
    <w:rPr>
      <w:rFonts w:ascii="Cambria" w:hAnsi="Cambria" w:cs="Times New Roman"/>
      <w:snapToGrid/>
      <w:color w:val="272727"/>
      <w:sz w:val="21"/>
      <w:szCs w:val="21"/>
    </w:rPr>
  </w:style>
  <w:style w:type="paragraph" w:styleId="Heading9">
    <w:name w:val="heading 9"/>
    <w:basedOn w:val="Normal"/>
    <w:next w:val="Normal"/>
    <w:link w:val="Heading9Char"/>
    <w:rsid w:val="00AD7EEE"/>
    <w:pPr>
      <w:keepNext/>
      <w:keepLines/>
      <w:spacing w:before="40"/>
      <w:ind w:left="1584" w:hanging="1584"/>
      <w:outlineLvl w:val="8"/>
    </w:pPr>
    <w:rPr>
      <w:rFonts w:ascii="Cambria" w:hAnsi="Cambria" w:cs="Times New Roman"/>
      <w:i/>
      <w:iCs/>
      <w:snapToGrid/>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2E57"/>
    <w:pPr>
      <w:keepLines/>
      <w:numPr>
        <w:ilvl w:val="1"/>
        <w:numId w:val="12"/>
      </w:numPr>
      <w:spacing w:after="120"/>
    </w:pPr>
  </w:style>
  <w:style w:type="paragraph" w:styleId="Footer">
    <w:name w:val="footer"/>
    <w:basedOn w:val="Normal"/>
    <w:link w:val="FooterChar"/>
    <w:uiPriority w:val="99"/>
    <w:qFormat/>
    <w:rsid w:val="002C1B59"/>
    <w:pPr>
      <w:tabs>
        <w:tab w:val="right" w:pos="9356"/>
      </w:tabs>
    </w:pPr>
    <w:rPr>
      <w:color w:val="009596"/>
      <w:sz w:val="20"/>
      <w:szCs w:val="18"/>
    </w:rPr>
  </w:style>
  <w:style w:type="paragraph" w:styleId="Header">
    <w:name w:val="header"/>
    <w:basedOn w:val="Normal"/>
    <w:link w:val="HeaderChar"/>
    <w:uiPriority w:val="99"/>
    <w:qFormat/>
    <w:rsid w:val="002C1B59"/>
    <w:pPr>
      <w:tabs>
        <w:tab w:val="right" w:pos="9356"/>
      </w:tabs>
    </w:pPr>
    <w:rPr>
      <w:color w:val="009696"/>
      <w:sz w:val="20"/>
      <w:szCs w:val="24"/>
    </w:rPr>
  </w:style>
  <w:style w:type="paragraph" w:styleId="ListBullet">
    <w:name w:val="List Bullet"/>
    <w:basedOn w:val="Normal"/>
    <w:qFormat/>
    <w:rsid w:val="00FA2AB5"/>
    <w:pPr>
      <w:numPr>
        <w:numId w:val="1"/>
      </w:numPr>
      <w:spacing w:after="120"/>
      <w:contextualSpacing/>
    </w:pPr>
  </w:style>
  <w:style w:type="paragraph" w:customStyle="1" w:styleId="ListNumbered">
    <w:name w:val="List Numbered"/>
    <w:basedOn w:val="Normal"/>
    <w:qFormat/>
    <w:rsid w:val="00FA2AB5"/>
    <w:pPr>
      <w:numPr>
        <w:numId w:val="2"/>
      </w:numPr>
      <w:spacing w:after="120"/>
      <w:contextualSpacing/>
    </w:pPr>
  </w:style>
  <w:style w:type="paragraph" w:customStyle="1" w:styleId="QuoteText">
    <w:name w:val="Quote Text"/>
    <w:basedOn w:val="Normal"/>
    <w:next w:val="BodyText"/>
    <w:qFormat/>
    <w:rsid w:val="00FA2AB5"/>
    <w:pPr>
      <w:spacing w:after="120"/>
      <w:ind w:left="1077" w:right="357"/>
    </w:pPr>
    <w:rPr>
      <w:i/>
    </w:rPr>
  </w:style>
  <w:style w:type="paragraph" w:customStyle="1" w:styleId="TITLE1">
    <w:name w:val="TITLE 1"/>
    <w:basedOn w:val="Normal"/>
    <w:next w:val="TITLE2"/>
    <w:qFormat/>
    <w:rsid w:val="00C53571"/>
    <w:pPr>
      <w:keepLines/>
      <w:spacing w:after="240"/>
    </w:pPr>
    <w:rPr>
      <w:color w:val="009696"/>
      <w:sz w:val="52"/>
      <w:szCs w:val="36"/>
    </w:rPr>
  </w:style>
  <w:style w:type="paragraph" w:customStyle="1" w:styleId="TITLE2">
    <w:name w:val="TITLE 2"/>
    <w:basedOn w:val="Normal"/>
    <w:next w:val="TITLE3"/>
    <w:qFormat/>
    <w:rsid w:val="00C53571"/>
    <w:pPr>
      <w:keepLines/>
      <w:spacing w:after="240"/>
    </w:pPr>
    <w:rPr>
      <w:color w:val="009696"/>
      <w:sz w:val="48"/>
      <w:szCs w:val="48"/>
    </w:rPr>
  </w:style>
  <w:style w:type="paragraph" w:customStyle="1" w:styleId="TITLE3">
    <w:name w:val="TITLE 3"/>
    <w:basedOn w:val="Normal"/>
    <w:qFormat/>
    <w:rsid w:val="00C53571"/>
    <w:pPr>
      <w:keepLines/>
      <w:spacing w:after="240"/>
    </w:pPr>
    <w:rPr>
      <w:color w:val="000000" w:themeColor="text1"/>
      <w:sz w:val="40"/>
      <w:szCs w:val="40"/>
    </w:rPr>
  </w:style>
  <w:style w:type="paragraph" w:styleId="TOC1">
    <w:name w:val="toc 1"/>
    <w:basedOn w:val="Normal"/>
    <w:next w:val="Normal"/>
    <w:uiPriority w:val="39"/>
    <w:qFormat/>
    <w:rsid w:val="005B1CC8"/>
    <w:pPr>
      <w:tabs>
        <w:tab w:val="left" w:pos="720"/>
        <w:tab w:val="right" w:pos="9402"/>
      </w:tabs>
      <w:spacing w:before="60"/>
      <w:ind w:left="720" w:hanging="720"/>
    </w:pPr>
    <w:rPr>
      <w:bCs/>
      <w:noProof/>
      <w:color w:val="009696"/>
      <w:szCs w:val="24"/>
    </w:rPr>
  </w:style>
  <w:style w:type="paragraph" w:styleId="TOC2">
    <w:name w:val="toc 2"/>
    <w:basedOn w:val="TOC1"/>
    <w:next w:val="Normal"/>
    <w:uiPriority w:val="39"/>
    <w:qFormat/>
    <w:rsid w:val="001C7653"/>
    <w:pPr>
      <w:tabs>
        <w:tab w:val="clear" w:pos="720"/>
      </w:tabs>
      <w:spacing w:before="0"/>
      <w:ind w:firstLine="0"/>
    </w:pPr>
    <w:rPr>
      <w:color w:val="000000" w:themeColor="text1"/>
    </w:rPr>
  </w:style>
  <w:style w:type="paragraph" w:styleId="TOC3">
    <w:name w:val="toc 3"/>
    <w:basedOn w:val="Normal"/>
    <w:next w:val="Normal"/>
    <w:uiPriority w:val="39"/>
    <w:qFormat/>
    <w:rsid w:val="002A1D60"/>
    <w:pPr>
      <w:tabs>
        <w:tab w:val="right" w:pos="9402"/>
      </w:tabs>
      <w:ind w:left="1071"/>
    </w:pPr>
    <w:rPr>
      <w:noProof/>
      <w:szCs w:val="24"/>
    </w:rPr>
  </w:style>
  <w:style w:type="paragraph" w:customStyle="1" w:styleId="TOCTITLE">
    <w:name w:val="TOC TITLE"/>
    <w:basedOn w:val="Normal"/>
    <w:next w:val="TOC1"/>
    <w:uiPriority w:val="1"/>
    <w:qFormat/>
    <w:rsid w:val="00377848"/>
    <w:pPr>
      <w:keepNext/>
      <w:keepLines/>
      <w:spacing w:after="120"/>
    </w:pPr>
    <w:rPr>
      <w:color w:val="009696"/>
      <w:sz w:val="32"/>
      <w:szCs w:val="24"/>
    </w:rPr>
  </w:style>
  <w:style w:type="paragraph" w:styleId="Quote">
    <w:name w:val="Quote"/>
    <w:basedOn w:val="QuoteText"/>
    <w:next w:val="Normal"/>
    <w:link w:val="QuoteChar"/>
    <w:uiPriority w:val="29"/>
    <w:semiHidden/>
    <w:unhideWhenUsed/>
    <w:qFormat/>
    <w:rsid w:val="00D36D6D"/>
  </w:style>
  <w:style w:type="character" w:customStyle="1" w:styleId="QuoteChar">
    <w:name w:val="Quote Char"/>
    <w:basedOn w:val="DefaultParagraphFont"/>
    <w:link w:val="Quote"/>
    <w:uiPriority w:val="29"/>
    <w:semiHidden/>
    <w:rsid w:val="00E151A6"/>
    <w:rPr>
      <w:i/>
    </w:rPr>
  </w:style>
  <w:style w:type="paragraph" w:styleId="ListParagraph">
    <w:name w:val="List Paragraph"/>
    <w:basedOn w:val="Normal"/>
    <w:uiPriority w:val="26"/>
    <w:semiHidden/>
    <w:qFormat/>
    <w:rsid w:val="00B84728"/>
    <w:pPr>
      <w:ind w:left="720"/>
      <w:contextualSpacing/>
    </w:pPr>
  </w:style>
  <w:style w:type="paragraph" w:styleId="BalloonText">
    <w:name w:val="Balloon Text"/>
    <w:basedOn w:val="Normal"/>
    <w:link w:val="BalloonTextChar"/>
    <w:uiPriority w:val="99"/>
    <w:semiHidden/>
    <w:unhideWhenUsed/>
    <w:rsid w:val="00B67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3A"/>
    <w:rPr>
      <w:rFonts w:ascii="Segoe UI" w:hAnsi="Segoe UI" w:cs="Segoe UI"/>
      <w:sz w:val="18"/>
      <w:szCs w:val="18"/>
    </w:rPr>
  </w:style>
  <w:style w:type="character" w:customStyle="1" w:styleId="HeaderChar">
    <w:name w:val="Header Char"/>
    <w:basedOn w:val="DefaultParagraphFont"/>
    <w:link w:val="Header"/>
    <w:uiPriority w:val="99"/>
    <w:rsid w:val="002C1B59"/>
    <w:rPr>
      <w:color w:val="009696"/>
      <w:sz w:val="20"/>
      <w:szCs w:val="24"/>
    </w:rPr>
  </w:style>
  <w:style w:type="table" w:styleId="TableGrid">
    <w:name w:val="Table Grid"/>
    <w:basedOn w:val="TableNormal"/>
    <w:uiPriority w:val="39"/>
    <w:rsid w:val="00AC154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2F7F"/>
    <w:rPr>
      <w:color w:val="0563C1" w:themeColor="hyperlink"/>
      <w:u w:val="single"/>
    </w:rPr>
  </w:style>
  <w:style w:type="paragraph" w:customStyle="1" w:styleId="CVHeading">
    <w:name w:val="CV Heading"/>
    <w:basedOn w:val="Normal"/>
    <w:next w:val="CVBodyText"/>
    <w:link w:val="CVHeadingChar"/>
    <w:rsid w:val="00F50763"/>
    <w:pPr>
      <w:pBdr>
        <w:top w:val="single" w:sz="4" w:space="6" w:color="E64600"/>
      </w:pBdr>
      <w:spacing w:after="120"/>
    </w:pPr>
    <w:rPr>
      <w:caps/>
      <w:color w:val="E64600"/>
    </w:rPr>
  </w:style>
  <w:style w:type="paragraph" w:customStyle="1" w:styleId="CVBodyText">
    <w:name w:val="CV Body Text"/>
    <w:basedOn w:val="Normal"/>
    <w:link w:val="CVBodyTextChar"/>
    <w:rsid w:val="00F50763"/>
    <w:pPr>
      <w:spacing w:after="120"/>
    </w:pPr>
  </w:style>
  <w:style w:type="character" w:customStyle="1" w:styleId="CVHeadingChar">
    <w:name w:val="CV Heading Char"/>
    <w:basedOn w:val="DefaultParagraphFont"/>
    <w:link w:val="CVHeading"/>
    <w:rsid w:val="00F50763"/>
    <w:rPr>
      <w:caps/>
      <w:color w:val="E64600"/>
      <w:sz w:val="24"/>
    </w:rPr>
  </w:style>
  <w:style w:type="paragraph" w:customStyle="1" w:styleId="CVBulletList">
    <w:name w:val="CV Bullet List"/>
    <w:basedOn w:val="Normal"/>
    <w:link w:val="CVBulletListChar"/>
    <w:rsid w:val="009E3B6E"/>
    <w:pPr>
      <w:keepLines/>
      <w:numPr>
        <w:numId w:val="4"/>
      </w:numPr>
      <w:tabs>
        <w:tab w:val="left" w:pos="357"/>
      </w:tabs>
      <w:spacing w:after="120"/>
      <w:ind w:left="357" w:hanging="357"/>
      <w:contextualSpacing/>
    </w:pPr>
  </w:style>
  <w:style w:type="character" w:customStyle="1" w:styleId="CVBodyTextChar">
    <w:name w:val="CV Body Text Char"/>
    <w:basedOn w:val="DefaultParagraphFont"/>
    <w:link w:val="CVBodyText"/>
    <w:rsid w:val="00F50763"/>
  </w:style>
  <w:style w:type="character" w:customStyle="1" w:styleId="CVBulletListChar">
    <w:name w:val="CV Bullet List Char"/>
    <w:basedOn w:val="DefaultParagraphFont"/>
    <w:link w:val="CVBulletList"/>
    <w:rsid w:val="009E3B6E"/>
  </w:style>
  <w:style w:type="character" w:customStyle="1" w:styleId="Heading5Char">
    <w:name w:val="Heading 5 Char"/>
    <w:basedOn w:val="DefaultParagraphFont"/>
    <w:link w:val="Heading5"/>
    <w:uiPriority w:val="9"/>
    <w:rsid w:val="00EA24A7"/>
    <w:rPr>
      <w:rFonts w:asciiTheme="majorHAnsi" w:eastAsiaTheme="majorEastAsia" w:hAnsiTheme="majorHAnsi" w:cstheme="majorBidi"/>
      <w:color w:val="2E74B5" w:themeColor="accent1" w:themeShade="BF"/>
    </w:rPr>
  </w:style>
  <w:style w:type="character" w:styleId="LineNumber">
    <w:name w:val="line number"/>
    <w:basedOn w:val="DefaultParagraphFont"/>
    <w:uiPriority w:val="99"/>
    <w:unhideWhenUsed/>
    <w:rsid w:val="005C756C"/>
  </w:style>
  <w:style w:type="character" w:customStyle="1" w:styleId="BodyTextChar">
    <w:name w:val="Body Text Char"/>
    <w:basedOn w:val="DefaultParagraphFont"/>
    <w:link w:val="BodyText"/>
    <w:rsid w:val="00682E57"/>
  </w:style>
  <w:style w:type="paragraph" w:styleId="ListNumber">
    <w:name w:val="List Number"/>
    <w:basedOn w:val="Normal"/>
    <w:uiPriority w:val="99"/>
    <w:unhideWhenUsed/>
    <w:rsid w:val="00D7533F"/>
    <w:pPr>
      <w:numPr>
        <w:numId w:val="3"/>
      </w:numPr>
      <w:spacing w:after="120"/>
      <w:contextualSpacing/>
    </w:pPr>
  </w:style>
  <w:style w:type="character" w:customStyle="1" w:styleId="Heading6Char">
    <w:name w:val="Heading 6 Char"/>
    <w:basedOn w:val="DefaultParagraphFont"/>
    <w:link w:val="Heading6"/>
    <w:rsid w:val="00AD7EEE"/>
    <w:rPr>
      <w:rFonts w:ascii="Cambria" w:hAnsi="Cambria" w:cs="Times New Roman"/>
      <w:snapToGrid/>
      <w:color w:val="243F60"/>
      <w:szCs w:val="24"/>
    </w:rPr>
  </w:style>
  <w:style w:type="character" w:customStyle="1" w:styleId="Heading7Char">
    <w:name w:val="Heading 7 Char"/>
    <w:basedOn w:val="DefaultParagraphFont"/>
    <w:link w:val="Heading7"/>
    <w:rsid w:val="00AD7EEE"/>
    <w:rPr>
      <w:rFonts w:ascii="Cambria" w:hAnsi="Cambria" w:cs="Times New Roman"/>
      <w:i/>
      <w:iCs/>
      <w:snapToGrid/>
      <w:color w:val="243F60"/>
      <w:szCs w:val="24"/>
    </w:rPr>
  </w:style>
  <w:style w:type="character" w:customStyle="1" w:styleId="Heading8Char">
    <w:name w:val="Heading 8 Char"/>
    <w:basedOn w:val="DefaultParagraphFont"/>
    <w:link w:val="Heading8"/>
    <w:rsid w:val="00AD7EEE"/>
    <w:rPr>
      <w:rFonts w:ascii="Cambria" w:hAnsi="Cambria" w:cs="Times New Roman"/>
      <w:snapToGrid/>
      <w:color w:val="272727"/>
      <w:sz w:val="21"/>
      <w:szCs w:val="21"/>
    </w:rPr>
  </w:style>
  <w:style w:type="character" w:customStyle="1" w:styleId="Heading9Char">
    <w:name w:val="Heading 9 Char"/>
    <w:basedOn w:val="DefaultParagraphFont"/>
    <w:link w:val="Heading9"/>
    <w:rsid w:val="00AD7EEE"/>
    <w:rPr>
      <w:rFonts w:ascii="Cambria" w:hAnsi="Cambria" w:cs="Times New Roman"/>
      <w:i/>
      <w:iCs/>
      <w:snapToGrid/>
      <w:color w:val="272727"/>
      <w:sz w:val="21"/>
      <w:szCs w:val="21"/>
    </w:rPr>
  </w:style>
  <w:style w:type="character" w:customStyle="1" w:styleId="FooterChar">
    <w:name w:val="Footer Char"/>
    <w:basedOn w:val="DefaultParagraphFont"/>
    <w:link w:val="Footer"/>
    <w:uiPriority w:val="99"/>
    <w:rsid w:val="002C1B59"/>
    <w:rPr>
      <w:color w:val="009596"/>
      <w:sz w:val="20"/>
      <w:szCs w:val="18"/>
    </w:rPr>
  </w:style>
  <w:style w:type="paragraph" w:styleId="TOCHeading">
    <w:name w:val="TOC Heading"/>
    <w:basedOn w:val="Heading1"/>
    <w:next w:val="Normal"/>
    <w:uiPriority w:val="39"/>
    <w:unhideWhenUsed/>
    <w:rsid w:val="00306BEA"/>
    <w:pPr>
      <w:tabs>
        <w:tab w:val="left" w:pos="720"/>
      </w:tabs>
      <w:spacing w:before="480" w:after="0" w:line="276" w:lineRule="auto"/>
      <w:outlineLvl w:val="9"/>
    </w:pPr>
    <w:rPr>
      <w:rFonts w:asciiTheme="majorHAnsi" w:eastAsiaTheme="majorEastAsia" w:hAnsiTheme="majorHAnsi" w:cstheme="majorBidi"/>
      <w:b/>
      <w:bCs/>
      <w:caps/>
      <w:snapToGrid/>
      <w:color w:val="2E74B5" w:themeColor="accent1" w:themeShade="BF"/>
      <w:sz w:val="28"/>
      <w:szCs w:val="28"/>
      <w:lang w:val="en-US" w:eastAsia="en-US"/>
    </w:rPr>
  </w:style>
  <w:style w:type="paragraph" w:styleId="TOC4">
    <w:name w:val="toc 4"/>
    <w:basedOn w:val="Normal"/>
    <w:next w:val="Normal"/>
    <w:autoRedefine/>
    <w:uiPriority w:val="39"/>
    <w:unhideWhenUsed/>
    <w:rsid w:val="00306BEA"/>
    <w:pPr>
      <w:ind w:left="720"/>
    </w:pPr>
    <w:rPr>
      <w:rFonts w:asciiTheme="minorHAnsi" w:hAnsiTheme="minorHAnsi"/>
      <w:sz w:val="20"/>
    </w:rPr>
  </w:style>
  <w:style w:type="paragraph" w:styleId="TOC5">
    <w:name w:val="toc 5"/>
    <w:basedOn w:val="Normal"/>
    <w:next w:val="Normal"/>
    <w:autoRedefine/>
    <w:uiPriority w:val="39"/>
    <w:unhideWhenUsed/>
    <w:rsid w:val="00306BEA"/>
    <w:pPr>
      <w:ind w:left="960"/>
    </w:pPr>
    <w:rPr>
      <w:rFonts w:asciiTheme="minorHAnsi" w:hAnsiTheme="minorHAnsi"/>
      <w:sz w:val="20"/>
    </w:rPr>
  </w:style>
  <w:style w:type="paragraph" w:styleId="TOC6">
    <w:name w:val="toc 6"/>
    <w:basedOn w:val="Normal"/>
    <w:next w:val="Normal"/>
    <w:autoRedefine/>
    <w:uiPriority w:val="39"/>
    <w:unhideWhenUsed/>
    <w:rsid w:val="00306BEA"/>
    <w:pPr>
      <w:ind w:left="1200"/>
    </w:pPr>
    <w:rPr>
      <w:rFonts w:asciiTheme="minorHAnsi" w:hAnsiTheme="minorHAnsi"/>
      <w:sz w:val="20"/>
    </w:rPr>
  </w:style>
  <w:style w:type="paragraph" w:styleId="TOC7">
    <w:name w:val="toc 7"/>
    <w:basedOn w:val="Normal"/>
    <w:next w:val="Normal"/>
    <w:autoRedefine/>
    <w:uiPriority w:val="39"/>
    <w:unhideWhenUsed/>
    <w:rsid w:val="00306BEA"/>
    <w:pPr>
      <w:ind w:left="1440"/>
    </w:pPr>
    <w:rPr>
      <w:rFonts w:asciiTheme="minorHAnsi" w:hAnsiTheme="minorHAnsi"/>
      <w:sz w:val="20"/>
    </w:rPr>
  </w:style>
  <w:style w:type="paragraph" w:styleId="TOC8">
    <w:name w:val="toc 8"/>
    <w:basedOn w:val="Normal"/>
    <w:next w:val="Normal"/>
    <w:autoRedefine/>
    <w:uiPriority w:val="39"/>
    <w:unhideWhenUsed/>
    <w:rsid w:val="00306BEA"/>
    <w:pPr>
      <w:ind w:left="1680"/>
    </w:pPr>
    <w:rPr>
      <w:rFonts w:asciiTheme="minorHAnsi" w:hAnsiTheme="minorHAnsi"/>
      <w:sz w:val="20"/>
    </w:rPr>
  </w:style>
  <w:style w:type="paragraph" w:styleId="TOC9">
    <w:name w:val="toc 9"/>
    <w:basedOn w:val="Normal"/>
    <w:next w:val="Normal"/>
    <w:autoRedefine/>
    <w:uiPriority w:val="39"/>
    <w:unhideWhenUsed/>
    <w:rsid w:val="00306BEA"/>
    <w:pPr>
      <w:ind w:left="1920"/>
    </w:pPr>
    <w:rPr>
      <w:rFonts w:asciiTheme="minorHAnsi" w:hAnsiTheme="minorHAnsi"/>
      <w:sz w:val="20"/>
    </w:rPr>
  </w:style>
  <w:style w:type="character" w:customStyle="1" w:styleId="Heading1Char">
    <w:name w:val="Heading 1 Char"/>
    <w:link w:val="Heading1"/>
    <w:locked/>
    <w:rsid w:val="00E614C8"/>
    <w:rPr>
      <w:color w:val="009696"/>
      <w:sz w:val="40"/>
      <w:szCs w:val="40"/>
    </w:rPr>
  </w:style>
  <w:style w:type="paragraph" w:styleId="FootnoteText">
    <w:name w:val="footnote text"/>
    <w:basedOn w:val="Normal"/>
    <w:link w:val="FootnoteTextChar"/>
    <w:uiPriority w:val="99"/>
    <w:unhideWhenUsed/>
    <w:rsid w:val="002C1B59"/>
    <w:rPr>
      <w:sz w:val="20"/>
      <w:szCs w:val="24"/>
    </w:rPr>
  </w:style>
  <w:style w:type="character" w:customStyle="1" w:styleId="FootnoteTextChar">
    <w:name w:val="Footnote Text Char"/>
    <w:basedOn w:val="DefaultParagraphFont"/>
    <w:link w:val="FootnoteText"/>
    <w:uiPriority w:val="99"/>
    <w:rsid w:val="002C1B59"/>
    <w:rPr>
      <w:sz w:val="20"/>
      <w:szCs w:val="24"/>
    </w:rPr>
  </w:style>
  <w:style w:type="character" w:styleId="FootnoteReference">
    <w:name w:val="footnote reference"/>
    <w:basedOn w:val="DefaultParagraphFont"/>
    <w:uiPriority w:val="99"/>
    <w:unhideWhenUsed/>
    <w:rsid w:val="002C1B59"/>
    <w:rPr>
      <w:rFonts w:ascii="Arial" w:hAnsi="Arial"/>
      <w:sz w:val="20"/>
      <w:vertAlign w:val="superscript"/>
    </w:rPr>
  </w:style>
  <w:style w:type="paragraph" w:styleId="NormalWeb">
    <w:name w:val="Normal (Web)"/>
    <w:basedOn w:val="Normal"/>
    <w:uiPriority w:val="99"/>
    <w:semiHidden/>
    <w:unhideWhenUsed/>
    <w:rsid w:val="005870BF"/>
    <w:pPr>
      <w:spacing w:before="100" w:beforeAutospacing="1" w:after="100" w:afterAutospacing="1"/>
    </w:pPr>
    <w:rPr>
      <w:rFonts w:ascii="Times New Roman" w:hAnsi="Times New Roman" w:cs="Times New Roman"/>
      <w:snapToGrid/>
      <w:szCs w:val="24"/>
    </w:rPr>
  </w:style>
  <w:style w:type="paragraph" w:customStyle="1" w:styleId="PPAHeading1">
    <w:name w:val="PPA Heading 1"/>
    <w:basedOn w:val="Heading1"/>
    <w:rsid w:val="00B53F23"/>
  </w:style>
  <w:style w:type="numbering" w:customStyle="1" w:styleId="CurrentList1">
    <w:name w:val="Current List1"/>
    <w:uiPriority w:val="99"/>
    <w:rsid w:val="006718F9"/>
    <w:pPr>
      <w:numPr>
        <w:numId w:val="5"/>
      </w:numPr>
    </w:pPr>
  </w:style>
  <w:style w:type="numbering" w:customStyle="1" w:styleId="CurrentList2">
    <w:name w:val="Current List2"/>
    <w:uiPriority w:val="99"/>
    <w:rsid w:val="00A62A18"/>
    <w:pPr>
      <w:numPr>
        <w:numId w:val="6"/>
      </w:numPr>
    </w:pPr>
  </w:style>
  <w:style w:type="numbering" w:customStyle="1" w:styleId="CurrentList3">
    <w:name w:val="Current List3"/>
    <w:uiPriority w:val="99"/>
    <w:rsid w:val="008F0274"/>
    <w:pPr>
      <w:numPr>
        <w:numId w:val="7"/>
      </w:numPr>
    </w:pPr>
  </w:style>
  <w:style w:type="character" w:styleId="UnresolvedMention">
    <w:name w:val="Unresolved Mention"/>
    <w:basedOn w:val="DefaultParagraphFont"/>
    <w:uiPriority w:val="99"/>
    <w:rsid w:val="001A7895"/>
    <w:rPr>
      <w:color w:val="605E5C"/>
      <w:shd w:val="clear" w:color="auto" w:fill="E1DFDD"/>
    </w:rPr>
  </w:style>
  <w:style w:type="numbering" w:customStyle="1" w:styleId="CurrentList4">
    <w:name w:val="Current List4"/>
    <w:uiPriority w:val="99"/>
    <w:rsid w:val="004C23D7"/>
    <w:pPr>
      <w:numPr>
        <w:numId w:val="9"/>
      </w:numPr>
    </w:pPr>
  </w:style>
  <w:style w:type="numbering" w:customStyle="1" w:styleId="CurrentList5">
    <w:name w:val="Current List5"/>
    <w:uiPriority w:val="99"/>
    <w:rsid w:val="00D00A8B"/>
    <w:pPr>
      <w:numPr>
        <w:numId w:val="10"/>
      </w:numPr>
    </w:pPr>
  </w:style>
  <w:style w:type="numbering" w:customStyle="1" w:styleId="CurrentList6">
    <w:name w:val="Current List6"/>
    <w:uiPriority w:val="99"/>
    <w:rsid w:val="009F6346"/>
    <w:pPr>
      <w:numPr>
        <w:numId w:val="11"/>
      </w:numPr>
    </w:pPr>
  </w:style>
  <w:style w:type="numbering" w:customStyle="1" w:styleId="CurrentList7">
    <w:name w:val="Current List7"/>
    <w:uiPriority w:val="99"/>
    <w:rsid w:val="00435C9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466">
      <w:bodyDiv w:val="1"/>
      <w:marLeft w:val="0"/>
      <w:marRight w:val="0"/>
      <w:marTop w:val="0"/>
      <w:marBottom w:val="0"/>
      <w:divBdr>
        <w:top w:val="none" w:sz="0" w:space="0" w:color="auto"/>
        <w:left w:val="none" w:sz="0" w:space="0" w:color="auto"/>
        <w:bottom w:val="none" w:sz="0" w:space="0" w:color="auto"/>
        <w:right w:val="none" w:sz="0" w:space="0" w:color="auto"/>
      </w:divBdr>
      <w:divsChild>
        <w:div w:id="1038433107">
          <w:marLeft w:val="0"/>
          <w:marRight w:val="0"/>
          <w:marTop w:val="0"/>
          <w:marBottom w:val="750"/>
          <w:divBdr>
            <w:top w:val="none" w:sz="0" w:space="0" w:color="auto"/>
            <w:left w:val="none" w:sz="0" w:space="0" w:color="auto"/>
            <w:bottom w:val="none" w:sz="0" w:space="0" w:color="auto"/>
            <w:right w:val="none" w:sz="0" w:space="0" w:color="auto"/>
          </w:divBdr>
          <w:divsChild>
            <w:div w:id="770201194">
              <w:marLeft w:val="0"/>
              <w:marRight w:val="0"/>
              <w:marTop w:val="0"/>
              <w:marBottom w:val="0"/>
              <w:divBdr>
                <w:top w:val="none" w:sz="0" w:space="0" w:color="auto"/>
                <w:left w:val="none" w:sz="0" w:space="0" w:color="auto"/>
                <w:bottom w:val="none" w:sz="0" w:space="0" w:color="auto"/>
                <w:right w:val="none" w:sz="0" w:space="0" w:color="auto"/>
              </w:divBdr>
              <w:divsChild>
                <w:div w:id="1948273917">
                  <w:marLeft w:val="0"/>
                  <w:marRight w:val="0"/>
                  <w:marTop w:val="0"/>
                  <w:marBottom w:val="0"/>
                  <w:divBdr>
                    <w:top w:val="none" w:sz="0" w:space="0" w:color="auto"/>
                    <w:left w:val="none" w:sz="0" w:space="0" w:color="auto"/>
                    <w:bottom w:val="none" w:sz="0" w:space="0" w:color="auto"/>
                    <w:right w:val="none" w:sz="0" w:space="0" w:color="auto"/>
                  </w:divBdr>
                  <w:divsChild>
                    <w:div w:id="15962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44840">
      <w:bodyDiv w:val="1"/>
      <w:marLeft w:val="0"/>
      <w:marRight w:val="0"/>
      <w:marTop w:val="0"/>
      <w:marBottom w:val="0"/>
      <w:divBdr>
        <w:top w:val="none" w:sz="0" w:space="0" w:color="auto"/>
        <w:left w:val="none" w:sz="0" w:space="0" w:color="auto"/>
        <w:bottom w:val="none" w:sz="0" w:space="0" w:color="auto"/>
        <w:right w:val="none" w:sz="0" w:space="0" w:color="auto"/>
      </w:divBdr>
      <w:divsChild>
        <w:div w:id="1012992795">
          <w:marLeft w:val="0"/>
          <w:marRight w:val="0"/>
          <w:marTop w:val="0"/>
          <w:marBottom w:val="0"/>
          <w:divBdr>
            <w:top w:val="none" w:sz="0" w:space="0" w:color="auto"/>
            <w:left w:val="none" w:sz="0" w:space="0" w:color="auto"/>
            <w:bottom w:val="none" w:sz="0" w:space="0" w:color="auto"/>
            <w:right w:val="none" w:sz="0" w:space="0" w:color="auto"/>
          </w:divBdr>
          <w:divsChild>
            <w:div w:id="2012029819">
              <w:marLeft w:val="0"/>
              <w:marRight w:val="0"/>
              <w:marTop w:val="0"/>
              <w:marBottom w:val="0"/>
              <w:divBdr>
                <w:top w:val="none" w:sz="0" w:space="0" w:color="auto"/>
                <w:left w:val="none" w:sz="0" w:space="0" w:color="auto"/>
                <w:bottom w:val="none" w:sz="0" w:space="0" w:color="auto"/>
                <w:right w:val="none" w:sz="0" w:space="0" w:color="auto"/>
              </w:divBdr>
              <w:divsChild>
                <w:div w:id="3092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68190">
      <w:bodyDiv w:val="1"/>
      <w:marLeft w:val="0"/>
      <w:marRight w:val="0"/>
      <w:marTop w:val="0"/>
      <w:marBottom w:val="0"/>
      <w:divBdr>
        <w:top w:val="none" w:sz="0" w:space="0" w:color="auto"/>
        <w:left w:val="none" w:sz="0" w:space="0" w:color="auto"/>
        <w:bottom w:val="none" w:sz="0" w:space="0" w:color="auto"/>
        <w:right w:val="none" w:sz="0" w:space="0" w:color="auto"/>
      </w:divBdr>
    </w:div>
    <w:div w:id="303900867">
      <w:bodyDiv w:val="1"/>
      <w:marLeft w:val="0"/>
      <w:marRight w:val="0"/>
      <w:marTop w:val="0"/>
      <w:marBottom w:val="0"/>
      <w:divBdr>
        <w:top w:val="none" w:sz="0" w:space="0" w:color="auto"/>
        <w:left w:val="none" w:sz="0" w:space="0" w:color="auto"/>
        <w:bottom w:val="none" w:sz="0" w:space="0" w:color="auto"/>
        <w:right w:val="none" w:sz="0" w:space="0" w:color="auto"/>
      </w:divBdr>
    </w:div>
    <w:div w:id="903183695">
      <w:bodyDiv w:val="1"/>
      <w:marLeft w:val="0"/>
      <w:marRight w:val="0"/>
      <w:marTop w:val="0"/>
      <w:marBottom w:val="0"/>
      <w:divBdr>
        <w:top w:val="none" w:sz="0" w:space="0" w:color="auto"/>
        <w:left w:val="none" w:sz="0" w:space="0" w:color="auto"/>
        <w:bottom w:val="none" w:sz="0" w:space="0" w:color="auto"/>
        <w:right w:val="none" w:sz="0" w:space="0" w:color="auto"/>
      </w:divBdr>
      <w:divsChild>
        <w:div w:id="848527037">
          <w:marLeft w:val="0"/>
          <w:marRight w:val="0"/>
          <w:marTop w:val="0"/>
          <w:marBottom w:val="0"/>
          <w:divBdr>
            <w:top w:val="none" w:sz="0" w:space="0" w:color="auto"/>
            <w:left w:val="none" w:sz="0" w:space="0" w:color="auto"/>
            <w:bottom w:val="none" w:sz="0" w:space="0" w:color="auto"/>
            <w:right w:val="none" w:sz="0" w:space="0" w:color="auto"/>
          </w:divBdr>
          <w:divsChild>
            <w:div w:id="15749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1122">
      <w:bodyDiv w:val="1"/>
      <w:marLeft w:val="0"/>
      <w:marRight w:val="0"/>
      <w:marTop w:val="0"/>
      <w:marBottom w:val="0"/>
      <w:divBdr>
        <w:top w:val="none" w:sz="0" w:space="0" w:color="auto"/>
        <w:left w:val="none" w:sz="0" w:space="0" w:color="auto"/>
        <w:bottom w:val="none" w:sz="0" w:space="0" w:color="auto"/>
        <w:right w:val="none" w:sz="0" w:space="0" w:color="auto"/>
      </w:divBdr>
      <w:divsChild>
        <w:div w:id="1225140663">
          <w:marLeft w:val="0"/>
          <w:marRight w:val="0"/>
          <w:marTop w:val="0"/>
          <w:marBottom w:val="0"/>
          <w:divBdr>
            <w:top w:val="none" w:sz="0" w:space="0" w:color="auto"/>
            <w:left w:val="none" w:sz="0" w:space="0" w:color="auto"/>
            <w:bottom w:val="none" w:sz="0" w:space="0" w:color="auto"/>
            <w:right w:val="none" w:sz="0" w:space="0" w:color="auto"/>
          </w:divBdr>
          <w:divsChild>
            <w:div w:id="1255480607">
              <w:marLeft w:val="0"/>
              <w:marRight w:val="0"/>
              <w:marTop w:val="0"/>
              <w:marBottom w:val="0"/>
              <w:divBdr>
                <w:top w:val="none" w:sz="0" w:space="0" w:color="auto"/>
                <w:left w:val="none" w:sz="0" w:space="0" w:color="auto"/>
                <w:bottom w:val="none" w:sz="0" w:space="0" w:color="auto"/>
                <w:right w:val="none" w:sz="0" w:space="0" w:color="auto"/>
              </w:divBdr>
              <w:divsChild>
                <w:div w:id="1790313874">
                  <w:marLeft w:val="0"/>
                  <w:marRight w:val="0"/>
                  <w:marTop w:val="0"/>
                  <w:marBottom w:val="0"/>
                  <w:divBdr>
                    <w:top w:val="none" w:sz="0" w:space="0" w:color="auto"/>
                    <w:left w:val="none" w:sz="0" w:space="0" w:color="auto"/>
                    <w:bottom w:val="none" w:sz="0" w:space="0" w:color="auto"/>
                    <w:right w:val="none" w:sz="0" w:space="0" w:color="auto"/>
                  </w:divBdr>
                  <w:divsChild>
                    <w:div w:id="579994799">
                      <w:marLeft w:val="0"/>
                      <w:marRight w:val="0"/>
                      <w:marTop w:val="0"/>
                      <w:marBottom w:val="0"/>
                      <w:divBdr>
                        <w:top w:val="none" w:sz="0" w:space="0" w:color="auto"/>
                        <w:left w:val="none" w:sz="0" w:space="0" w:color="auto"/>
                        <w:bottom w:val="none" w:sz="0" w:space="0" w:color="auto"/>
                        <w:right w:val="none" w:sz="0" w:space="0" w:color="auto"/>
                      </w:divBdr>
                    </w:div>
                    <w:div w:id="773400694">
                      <w:marLeft w:val="0"/>
                      <w:marRight w:val="0"/>
                      <w:marTop w:val="0"/>
                      <w:marBottom w:val="0"/>
                      <w:divBdr>
                        <w:top w:val="none" w:sz="0" w:space="0" w:color="auto"/>
                        <w:left w:val="none" w:sz="0" w:space="0" w:color="auto"/>
                        <w:bottom w:val="none" w:sz="0" w:space="0" w:color="auto"/>
                        <w:right w:val="none" w:sz="0" w:space="0" w:color="auto"/>
                      </w:divBdr>
                    </w:div>
                    <w:div w:id="1295453816">
                      <w:marLeft w:val="0"/>
                      <w:marRight w:val="0"/>
                      <w:marTop w:val="0"/>
                      <w:marBottom w:val="0"/>
                      <w:divBdr>
                        <w:top w:val="none" w:sz="0" w:space="0" w:color="auto"/>
                        <w:left w:val="none" w:sz="0" w:space="0" w:color="auto"/>
                        <w:bottom w:val="none" w:sz="0" w:space="0" w:color="auto"/>
                        <w:right w:val="none" w:sz="0" w:space="0" w:color="auto"/>
                      </w:divBdr>
                    </w:div>
                    <w:div w:id="66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98566">
      <w:bodyDiv w:val="1"/>
      <w:marLeft w:val="0"/>
      <w:marRight w:val="0"/>
      <w:marTop w:val="0"/>
      <w:marBottom w:val="0"/>
      <w:divBdr>
        <w:top w:val="none" w:sz="0" w:space="0" w:color="auto"/>
        <w:left w:val="none" w:sz="0" w:space="0" w:color="auto"/>
        <w:bottom w:val="none" w:sz="0" w:space="0" w:color="auto"/>
        <w:right w:val="none" w:sz="0" w:space="0" w:color="auto"/>
      </w:divBdr>
    </w:div>
    <w:div w:id="1664746837">
      <w:bodyDiv w:val="1"/>
      <w:marLeft w:val="0"/>
      <w:marRight w:val="0"/>
      <w:marTop w:val="0"/>
      <w:marBottom w:val="0"/>
      <w:divBdr>
        <w:top w:val="none" w:sz="0" w:space="0" w:color="auto"/>
        <w:left w:val="none" w:sz="0" w:space="0" w:color="auto"/>
        <w:bottom w:val="none" w:sz="0" w:space="0" w:color="auto"/>
        <w:right w:val="none" w:sz="0" w:space="0" w:color="auto"/>
      </w:divBdr>
      <w:divsChild>
        <w:div w:id="854726960">
          <w:marLeft w:val="0"/>
          <w:marRight w:val="0"/>
          <w:marTop w:val="0"/>
          <w:marBottom w:val="0"/>
          <w:divBdr>
            <w:top w:val="none" w:sz="0" w:space="0" w:color="auto"/>
            <w:left w:val="none" w:sz="0" w:space="0" w:color="auto"/>
            <w:bottom w:val="none" w:sz="0" w:space="0" w:color="auto"/>
            <w:right w:val="none" w:sz="0" w:space="0" w:color="auto"/>
          </w:divBdr>
          <w:divsChild>
            <w:div w:id="1540626688">
              <w:marLeft w:val="0"/>
              <w:marRight w:val="0"/>
              <w:marTop w:val="0"/>
              <w:marBottom w:val="0"/>
              <w:divBdr>
                <w:top w:val="none" w:sz="0" w:space="0" w:color="auto"/>
                <w:left w:val="none" w:sz="0" w:space="0" w:color="auto"/>
                <w:bottom w:val="none" w:sz="0" w:space="0" w:color="auto"/>
                <w:right w:val="none" w:sz="0" w:space="0" w:color="auto"/>
              </w:divBdr>
              <w:divsChild>
                <w:div w:id="12016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6308">
      <w:bodyDiv w:val="1"/>
      <w:marLeft w:val="0"/>
      <w:marRight w:val="0"/>
      <w:marTop w:val="0"/>
      <w:marBottom w:val="0"/>
      <w:divBdr>
        <w:top w:val="none" w:sz="0" w:space="0" w:color="auto"/>
        <w:left w:val="none" w:sz="0" w:space="0" w:color="auto"/>
        <w:bottom w:val="none" w:sz="0" w:space="0" w:color="auto"/>
        <w:right w:val="none" w:sz="0" w:space="0" w:color="auto"/>
      </w:divBdr>
    </w:div>
    <w:div w:id="213748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8E0B-0F5C-F344-87BA-4CC7BCD6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14</Pages>
  <Words>6000</Words>
  <Characters>31805</Characters>
  <Application>Microsoft Office Word</Application>
  <DocSecurity>0</DocSecurity>
  <Lines>636</Lines>
  <Paragraphs>297</Paragraphs>
  <ScaleCrop>false</ScaleCrop>
  <HeadingPairs>
    <vt:vector size="2" baseType="variant">
      <vt:variant>
        <vt:lpstr>Title</vt:lpstr>
      </vt:variant>
      <vt:variant>
        <vt:i4>1</vt:i4>
      </vt:variant>
    </vt:vector>
  </HeadingPairs>
  <TitlesOfParts>
    <vt:vector size="1" baseType="lpstr">
      <vt:lpstr>POS Template</vt:lpstr>
    </vt:vector>
  </TitlesOfParts>
  <Manager/>
  <Company>POS</Company>
  <LinksUpToDate>false</LinksUpToDate>
  <CharactersWithSpaces>37508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 Template</dc:title>
  <dc:subject/>
  <dc:creator>Michael Kiely</dc:creator>
  <cp:keywords/>
  <dc:description/>
  <cp:lastModifiedBy>Michael Kiely</cp:lastModifiedBy>
  <cp:revision>346</cp:revision>
  <cp:lastPrinted>2019-12-01T16:51:00Z</cp:lastPrinted>
  <dcterms:created xsi:type="dcterms:W3CDTF">2020-02-01T22:34:00Z</dcterms:created>
  <dcterms:modified xsi:type="dcterms:W3CDTF">2026-06-02T17:35:00Z</dcterms:modified>
  <cp:category/>
</cp:coreProperties>
</file>