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E8C40F" w14:textId="77777777" w:rsidR="000F195B" w:rsidRPr="00C53DB2" w:rsidRDefault="000F195B" w:rsidP="000F195B">
      <w:pPr>
        <w:pStyle w:val="TOCTITLE"/>
        <w:rPr>
          <w:sz w:val="40"/>
          <w:szCs w:val="32"/>
        </w:rPr>
      </w:pPr>
      <w:r w:rsidRPr="00C53DB2">
        <w:rPr>
          <w:sz w:val="40"/>
          <w:szCs w:val="32"/>
        </w:rPr>
        <w:t>PLANNING PERFORMANCE AGREEMENT</w:t>
      </w:r>
    </w:p>
    <w:p w14:paraId="22B66904" w14:textId="715CC853" w:rsidR="000F195B" w:rsidRDefault="000F195B" w:rsidP="000F195B">
      <w:pPr>
        <w:pStyle w:val="BodyText"/>
        <w:numPr>
          <w:ilvl w:val="0"/>
          <w:numId w:val="0"/>
        </w:numPr>
      </w:pPr>
      <w:r>
        <w:t xml:space="preserve">When completing the </w:t>
      </w:r>
      <w:r w:rsidR="00E70643">
        <w:t>agreement</w:t>
      </w:r>
      <w:r>
        <w:t xml:space="preserve"> [text in square brackets] should be edited as follows:</w:t>
      </w:r>
    </w:p>
    <w:p w14:paraId="61404227" w14:textId="77777777" w:rsidR="00056AB5" w:rsidRDefault="00056AB5" w:rsidP="00056AB5">
      <w:pPr>
        <w:pStyle w:val="ListBullet"/>
        <w:tabs>
          <w:tab w:val="clear" w:pos="1080"/>
          <w:tab w:val="num" w:pos="360"/>
        </w:tabs>
        <w:ind w:left="357"/>
      </w:pPr>
      <w:r>
        <w:t>[</w:t>
      </w:r>
      <w:r w:rsidRPr="001569DB">
        <w:rPr>
          <w:highlight w:val="lightGray"/>
        </w:rPr>
        <w:t>Highlighted text</w:t>
      </w:r>
      <w:r>
        <w:t>] should be customised by the LPA before implementation.</w:t>
      </w:r>
    </w:p>
    <w:p w14:paraId="7936CAB9" w14:textId="77777777" w:rsidR="00056AB5" w:rsidRDefault="00056AB5" w:rsidP="00056AB5">
      <w:pPr>
        <w:pStyle w:val="ListBullet"/>
        <w:tabs>
          <w:tab w:val="clear" w:pos="1080"/>
          <w:tab w:val="num" w:pos="360"/>
        </w:tabs>
        <w:ind w:left="357"/>
      </w:pPr>
      <w:r>
        <w:t>[Normal text] should be replaced as necessary when drafting.</w:t>
      </w:r>
    </w:p>
    <w:p w14:paraId="460C2560" w14:textId="77777777" w:rsidR="00056AB5" w:rsidRDefault="00056AB5" w:rsidP="00056AB5">
      <w:pPr>
        <w:pStyle w:val="ListBullet"/>
        <w:tabs>
          <w:tab w:val="clear" w:pos="1080"/>
          <w:tab w:val="num" w:pos="360"/>
        </w:tabs>
        <w:ind w:left="357"/>
      </w:pPr>
      <w:r w:rsidRPr="00140D40">
        <w:rPr>
          <w:i/>
          <w:iCs/>
        </w:rPr>
        <w:t xml:space="preserve">[Italic text] </w:t>
      </w:r>
      <w:r>
        <w:t>is instructional and must be deleted before finalising the document.</w:t>
      </w:r>
    </w:p>
    <w:p w14:paraId="0897F924" w14:textId="69F82FE2" w:rsidR="00FF4AEA" w:rsidRDefault="00FF4AEA" w:rsidP="00FF4AEA">
      <w:pPr>
        <w:pStyle w:val="TOCTITLE"/>
      </w:pPr>
      <w:r>
        <w:t>Contents</w:t>
      </w:r>
    </w:p>
    <w:p w14:paraId="1C499D77" w14:textId="2524F446" w:rsidR="000E79E3" w:rsidRDefault="00306BEA">
      <w:pPr>
        <w:pStyle w:val="TOC1"/>
        <w:rPr>
          <w:rFonts w:asciiTheme="minorHAnsi" w:eastAsiaTheme="minorEastAsia" w:hAnsiTheme="minorHAnsi" w:cstheme="minorBidi"/>
          <w:bCs w:val="0"/>
          <w:snapToGrid/>
          <w:color w:val="auto"/>
          <w:kern w:val="2"/>
          <w14:ligatures w14:val="standardContextual"/>
        </w:rPr>
      </w:pPr>
      <w:r>
        <w:rPr>
          <w:color w:val="000000" w:themeColor="text1"/>
        </w:rPr>
        <w:fldChar w:fldCharType="begin"/>
      </w:r>
      <w:r w:rsidRPr="00EB2BD8">
        <w:rPr>
          <w:color w:val="000000" w:themeColor="text1"/>
        </w:rPr>
        <w:instrText xml:space="preserve"> TOC \o "1-3" </w:instrText>
      </w:r>
      <w:r>
        <w:rPr>
          <w:color w:val="000000" w:themeColor="text1"/>
        </w:rPr>
        <w:fldChar w:fldCharType="separate"/>
      </w:r>
      <w:r w:rsidR="000E79E3">
        <w:t>1</w:t>
      </w:r>
      <w:r w:rsidR="000E79E3">
        <w:rPr>
          <w:rFonts w:asciiTheme="minorHAnsi" w:eastAsiaTheme="minorEastAsia" w:hAnsiTheme="minorHAnsi" w:cstheme="minorBidi"/>
          <w:bCs w:val="0"/>
          <w:snapToGrid/>
          <w:color w:val="auto"/>
          <w:kern w:val="2"/>
          <w14:ligatures w14:val="standardContextual"/>
        </w:rPr>
        <w:tab/>
      </w:r>
      <w:r w:rsidR="000E79E3">
        <w:t>Recitals</w:t>
      </w:r>
      <w:r w:rsidR="000E79E3">
        <w:tab/>
      </w:r>
      <w:r w:rsidR="000E79E3">
        <w:fldChar w:fldCharType="begin"/>
      </w:r>
      <w:r w:rsidR="000E79E3">
        <w:instrText xml:space="preserve"> PAGEREF _Toc232603298 \h </w:instrText>
      </w:r>
      <w:r w:rsidR="000E79E3">
        <w:fldChar w:fldCharType="separate"/>
      </w:r>
      <w:r w:rsidR="000E79E3">
        <w:t>2</w:t>
      </w:r>
      <w:r w:rsidR="000E79E3">
        <w:fldChar w:fldCharType="end"/>
      </w:r>
    </w:p>
    <w:p w14:paraId="4F2AA004" w14:textId="62A9F107" w:rsidR="000E79E3" w:rsidRDefault="000E79E3">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Term</w:t>
      </w:r>
      <w:r>
        <w:tab/>
      </w:r>
      <w:r>
        <w:fldChar w:fldCharType="begin"/>
      </w:r>
      <w:r>
        <w:instrText xml:space="preserve"> PAGEREF _Toc232603299 \h </w:instrText>
      </w:r>
      <w:r>
        <w:fldChar w:fldCharType="separate"/>
      </w:r>
      <w:r>
        <w:t>3</w:t>
      </w:r>
      <w:r>
        <w:fldChar w:fldCharType="end"/>
      </w:r>
    </w:p>
    <w:p w14:paraId="3149A5BA" w14:textId="3FF7421F" w:rsidR="000E79E3" w:rsidRDefault="000E79E3">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Amendment and Review</w:t>
      </w:r>
      <w:r>
        <w:tab/>
      </w:r>
      <w:r>
        <w:fldChar w:fldCharType="begin"/>
      </w:r>
      <w:r>
        <w:instrText xml:space="preserve"> PAGEREF _Toc232603300 \h </w:instrText>
      </w:r>
      <w:r>
        <w:fldChar w:fldCharType="separate"/>
      </w:r>
      <w:r>
        <w:t>3</w:t>
      </w:r>
      <w:r>
        <w:fldChar w:fldCharType="end"/>
      </w:r>
    </w:p>
    <w:p w14:paraId="7167961A" w14:textId="0DDA7855" w:rsidR="000E79E3" w:rsidRDefault="000E79E3">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Breach and Termination</w:t>
      </w:r>
      <w:r>
        <w:tab/>
      </w:r>
      <w:r>
        <w:fldChar w:fldCharType="begin"/>
      </w:r>
      <w:r>
        <w:instrText xml:space="preserve"> PAGEREF _Toc232603301 \h </w:instrText>
      </w:r>
      <w:r>
        <w:fldChar w:fldCharType="separate"/>
      </w:r>
      <w:r>
        <w:t>3</w:t>
      </w:r>
      <w:r>
        <w:fldChar w:fldCharType="end"/>
      </w:r>
    </w:p>
    <w:p w14:paraId="2DF652DD" w14:textId="7045D821" w:rsidR="000E79E3" w:rsidRDefault="000E79E3">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Obligations</w:t>
      </w:r>
      <w:r>
        <w:tab/>
      </w:r>
      <w:r>
        <w:fldChar w:fldCharType="begin"/>
      </w:r>
      <w:r>
        <w:instrText xml:space="preserve"> PAGEREF _Toc232603302 \h </w:instrText>
      </w:r>
      <w:r>
        <w:fldChar w:fldCharType="separate"/>
      </w:r>
      <w:r>
        <w:t>4</w:t>
      </w:r>
      <w:r>
        <w:fldChar w:fldCharType="end"/>
      </w:r>
    </w:p>
    <w:p w14:paraId="5DD5C605" w14:textId="777526C2" w:rsidR="000E79E3" w:rsidRDefault="000E79E3">
      <w:pPr>
        <w:pStyle w:val="TOC2"/>
        <w:rPr>
          <w:rFonts w:asciiTheme="minorHAnsi" w:eastAsiaTheme="minorEastAsia" w:hAnsiTheme="minorHAnsi" w:cstheme="minorBidi"/>
          <w:bCs w:val="0"/>
          <w:snapToGrid/>
          <w:color w:val="auto"/>
          <w:kern w:val="2"/>
          <w14:ligatures w14:val="standardContextual"/>
        </w:rPr>
      </w:pPr>
      <w:r>
        <w:t>Developer’s obligations</w:t>
      </w:r>
      <w:r>
        <w:tab/>
      </w:r>
      <w:r>
        <w:fldChar w:fldCharType="begin"/>
      </w:r>
      <w:r>
        <w:instrText xml:space="preserve"> PAGEREF _Toc232603303 \h </w:instrText>
      </w:r>
      <w:r>
        <w:fldChar w:fldCharType="separate"/>
      </w:r>
      <w:r>
        <w:t>4</w:t>
      </w:r>
      <w:r>
        <w:fldChar w:fldCharType="end"/>
      </w:r>
    </w:p>
    <w:p w14:paraId="6D1A9092" w14:textId="58277BC6" w:rsidR="000E79E3" w:rsidRDefault="000E79E3">
      <w:pPr>
        <w:pStyle w:val="TOC2"/>
        <w:rPr>
          <w:rFonts w:asciiTheme="minorHAnsi" w:eastAsiaTheme="minorEastAsia" w:hAnsiTheme="minorHAnsi" w:cstheme="minorBidi"/>
          <w:bCs w:val="0"/>
          <w:snapToGrid/>
          <w:color w:val="auto"/>
          <w:kern w:val="2"/>
          <w14:ligatures w14:val="standardContextual"/>
        </w:rPr>
      </w:pPr>
      <w:r>
        <w:t>Council’s Obligations</w:t>
      </w:r>
      <w:r>
        <w:tab/>
      </w:r>
      <w:r>
        <w:fldChar w:fldCharType="begin"/>
      </w:r>
      <w:r>
        <w:instrText xml:space="preserve"> PAGEREF _Toc232603304 \h </w:instrText>
      </w:r>
      <w:r>
        <w:fldChar w:fldCharType="separate"/>
      </w:r>
      <w:r>
        <w:t>4</w:t>
      </w:r>
      <w:r>
        <w:fldChar w:fldCharType="end"/>
      </w:r>
    </w:p>
    <w:p w14:paraId="2F291A51" w14:textId="6B2C1B1B" w:rsidR="000E79E3" w:rsidRDefault="000E79E3">
      <w:pPr>
        <w:pStyle w:val="TOC1"/>
        <w:rPr>
          <w:rFonts w:asciiTheme="minorHAnsi" w:eastAsiaTheme="minorEastAsia" w:hAnsiTheme="minorHAnsi" w:cstheme="minorBidi"/>
          <w:bCs w:val="0"/>
          <w:snapToGrid/>
          <w:color w:val="auto"/>
          <w:kern w:val="2"/>
          <w14:ligatures w14:val="standardContextual"/>
        </w:rPr>
      </w:pPr>
      <w:r>
        <w:t>6</w:t>
      </w:r>
      <w:r>
        <w:rPr>
          <w:rFonts w:asciiTheme="minorHAnsi" w:eastAsiaTheme="minorEastAsia" w:hAnsiTheme="minorHAnsi" w:cstheme="minorBidi"/>
          <w:bCs w:val="0"/>
          <w:snapToGrid/>
          <w:color w:val="auto"/>
          <w:kern w:val="2"/>
          <w14:ligatures w14:val="standardContextual"/>
        </w:rPr>
        <w:tab/>
      </w:r>
      <w:r>
        <w:t>Fees</w:t>
      </w:r>
      <w:r>
        <w:tab/>
      </w:r>
      <w:r>
        <w:fldChar w:fldCharType="begin"/>
      </w:r>
      <w:r>
        <w:instrText xml:space="preserve"> PAGEREF _Toc232603305 \h </w:instrText>
      </w:r>
      <w:r>
        <w:fldChar w:fldCharType="separate"/>
      </w:r>
      <w:r>
        <w:t>4</w:t>
      </w:r>
      <w:r>
        <w:fldChar w:fldCharType="end"/>
      </w:r>
    </w:p>
    <w:p w14:paraId="56E350D8" w14:textId="51EA5B98" w:rsidR="000E79E3" w:rsidRDefault="000E79E3">
      <w:pPr>
        <w:pStyle w:val="TOC2"/>
        <w:rPr>
          <w:rFonts w:asciiTheme="minorHAnsi" w:eastAsiaTheme="minorEastAsia" w:hAnsiTheme="minorHAnsi" w:cstheme="minorBidi"/>
          <w:bCs w:val="0"/>
          <w:snapToGrid/>
          <w:color w:val="auto"/>
          <w:kern w:val="2"/>
          <w14:ligatures w14:val="standardContextual"/>
        </w:rPr>
      </w:pPr>
      <w:r>
        <w:t>External consultants</w:t>
      </w:r>
      <w:r>
        <w:tab/>
      </w:r>
      <w:r>
        <w:fldChar w:fldCharType="begin"/>
      </w:r>
      <w:r>
        <w:instrText xml:space="preserve"> PAGEREF _Toc232603306 \h </w:instrText>
      </w:r>
      <w:r>
        <w:fldChar w:fldCharType="separate"/>
      </w:r>
      <w:r>
        <w:t>5</w:t>
      </w:r>
      <w:r>
        <w:fldChar w:fldCharType="end"/>
      </w:r>
    </w:p>
    <w:p w14:paraId="69A149E1" w14:textId="7FA07861" w:rsidR="000E79E3" w:rsidRDefault="000E79E3">
      <w:pPr>
        <w:pStyle w:val="TOC2"/>
        <w:rPr>
          <w:rFonts w:asciiTheme="minorHAnsi" w:eastAsiaTheme="minorEastAsia" w:hAnsiTheme="minorHAnsi" w:cstheme="minorBidi"/>
          <w:bCs w:val="0"/>
          <w:snapToGrid/>
          <w:color w:val="auto"/>
          <w:kern w:val="2"/>
          <w14:ligatures w14:val="standardContextual"/>
        </w:rPr>
      </w:pPr>
      <w:r>
        <w:t>Legal Fees</w:t>
      </w:r>
      <w:r>
        <w:tab/>
      </w:r>
      <w:r>
        <w:fldChar w:fldCharType="begin"/>
      </w:r>
      <w:r>
        <w:instrText xml:space="preserve"> PAGEREF _Toc232603307 \h </w:instrText>
      </w:r>
      <w:r>
        <w:fldChar w:fldCharType="separate"/>
      </w:r>
      <w:r>
        <w:t>5</w:t>
      </w:r>
      <w:r>
        <w:fldChar w:fldCharType="end"/>
      </w:r>
    </w:p>
    <w:p w14:paraId="6B9C2DA7" w14:textId="40E813C4" w:rsidR="000E79E3" w:rsidRDefault="000E79E3">
      <w:pPr>
        <w:pStyle w:val="TOC2"/>
        <w:rPr>
          <w:rFonts w:asciiTheme="minorHAnsi" w:eastAsiaTheme="minorEastAsia" w:hAnsiTheme="minorHAnsi" w:cstheme="minorBidi"/>
          <w:bCs w:val="0"/>
          <w:snapToGrid/>
          <w:color w:val="auto"/>
          <w:kern w:val="2"/>
          <w14:ligatures w14:val="standardContextual"/>
        </w:rPr>
      </w:pPr>
      <w:r>
        <w:t>S106 monitoring fees</w:t>
      </w:r>
      <w:r>
        <w:tab/>
      </w:r>
      <w:r>
        <w:fldChar w:fldCharType="begin"/>
      </w:r>
      <w:r>
        <w:instrText xml:space="preserve"> PAGEREF _Toc232603308 \h </w:instrText>
      </w:r>
      <w:r>
        <w:fldChar w:fldCharType="separate"/>
      </w:r>
      <w:r>
        <w:t>6</w:t>
      </w:r>
      <w:r>
        <w:fldChar w:fldCharType="end"/>
      </w:r>
    </w:p>
    <w:p w14:paraId="6190559A" w14:textId="35784A6C" w:rsidR="000E79E3" w:rsidRDefault="000E79E3">
      <w:pPr>
        <w:pStyle w:val="TOC1"/>
        <w:rPr>
          <w:rFonts w:asciiTheme="minorHAnsi" w:eastAsiaTheme="minorEastAsia" w:hAnsiTheme="minorHAnsi" w:cstheme="minorBidi"/>
          <w:bCs w:val="0"/>
          <w:snapToGrid/>
          <w:color w:val="auto"/>
          <w:kern w:val="2"/>
          <w14:ligatures w14:val="standardContextual"/>
        </w:rPr>
      </w:pPr>
      <w:r>
        <w:t>7</w:t>
      </w:r>
      <w:r>
        <w:rPr>
          <w:rFonts w:asciiTheme="minorHAnsi" w:eastAsiaTheme="minorEastAsia" w:hAnsiTheme="minorHAnsi" w:cstheme="minorBidi"/>
          <w:bCs w:val="0"/>
          <w:snapToGrid/>
          <w:color w:val="auto"/>
          <w:kern w:val="2"/>
          <w14:ligatures w14:val="standardContextual"/>
        </w:rPr>
        <w:tab/>
      </w:r>
      <w:r>
        <w:t>Confidentiality</w:t>
      </w:r>
      <w:r>
        <w:tab/>
      </w:r>
      <w:r>
        <w:fldChar w:fldCharType="begin"/>
      </w:r>
      <w:r>
        <w:instrText xml:space="preserve"> PAGEREF _Toc232603309 \h </w:instrText>
      </w:r>
      <w:r>
        <w:fldChar w:fldCharType="separate"/>
      </w:r>
      <w:r>
        <w:t>6</w:t>
      </w:r>
      <w:r>
        <w:fldChar w:fldCharType="end"/>
      </w:r>
    </w:p>
    <w:p w14:paraId="7930F166" w14:textId="4185066A" w:rsidR="000E79E3" w:rsidRDefault="000E79E3">
      <w:pPr>
        <w:pStyle w:val="TOC1"/>
        <w:rPr>
          <w:rFonts w:asciiTheme="minorHAnsi" w:eastAsiaTheme="minorEastAsia" w:hAnsiTheme="minorHAnsi" w:cstheme="minorBidi"/>
          <w:bCs w:val="0"/>
          <w:snapToGrid/>
          <w:color w:val="auto"/>
          <w:kern w:val="2"/>
          <w14:ligatures w14:val="standardContextual"/>
        </w:rPr>
      </w:pPr>
      <w:r>
        <w:t>8</w:t>
      </w:r>
      <w:r>
        <w:rPr>
          <w:rFonts w:asciiTheme="minorHAnsi" w:eastAsiaTheme="minorEastAsia" w:hAnsiTheme="minorHAnsi" w:cstheme="minorBidi"/>
          <w:bCs w:val="0"/>
          <w:snapToGrid/>
          <w:color w:val="auto"/>
          <w:kern w:val="2"/>
          <w14:ligatures w14:val="standardContextual"/>
        </w:rPr>
        <w:tab/>
      </w:r>
      <w:r>
        <w:t>Signatures</w:t>
      </w:r>
      <w:r>
        <w:tab/>
      </w:r>
      <w:r>
        <w:fldChar w:fldCharType="begin"/>
      </w:r>
      <w:r>
        <w:instrText xml:space="preserve"> PAGEREF _Toc232603310 \h </w:instrText>
      </w:r>
      <w:r>
        <w:fldChar w:fldCharType="separate"/>
      </w:r>
      <w:r>
        <w:t>7</w:t>
      </w:r>
      <w:r>
        <w:fldChar w:fldCharType="end"/>
      </w:r>
    </w:p>
    <w:p w14:paraId="65A9CAF1" w14:textId="58FECDC1" w:rsidR="000E79E3" w:rsidRDefault="000E79E3">
      <w:pPr>
        <w:pStyle w:val="TOC2"/>
        <w:rPr>
          <w:rFonts w:asciiTheme="minorHAnsi" w:eastAsiaTheme="minorEastAsia" w:hAnsiTheme="minorHAnsi" w:cstheme="minorBidi"/>
          <w:bCs w:val="0"/>
          <w:snapToGrid/>
          <w:color w:val="auto"/>
          <w:kern w:val="2"/>
          <w14:ligatures w14:val="standardContextual"/>
        </w:rPr>
      </w:pPr>
      <w:r>
        <w:t>The Council</w:t>
      </w:r>
      <w:r>
        <w:tab/>
      </w:r>
      <w:r>
        <w:fldChar w:fldCharType="begin"/>
      </w:r>
      <w:r>
        <w:instrText xml:space="preserve"> PAGEREF _Toc232603311 \h </w:instrText>
      </w:r>
      <w:r>
        <w:fldChar w:fldCharType="separate"/>
      </w:r>
      <w:r>
        <w:t>7</w:t>
      </w:r>
      <w:r>
        <w:fldChar w:fldCharType="end"/>
      </w:r>
    </w:p>
    <w:p w14:paraId="3DDB672D" w14:textId="1D9C4176" w:rsidR="000E79E3" w:rsidRDefault="000E79E3">
      <w:pPr>
        <w:pStyle w:val="TOC2"/>
        <w:rPr>
          <w:rFonts w:asciiTheme="minorHAnsi" w:eastAsiaTheme="minorEastAsia" w:hAnsiTheme="minorHAnsi" w:cstheme="minorBidi"/>
          <w:bCs w:val="0"/>
          <w:snapToGrid/>
          <w:color w:val="auto"/>
          <w:kern w:val="2"/>
          <w14:ligatures w14:val="standardContextual"/>
        </w:rPr>
      </w:pPr>
      <w:r>
        <w:t>The Developer</w:t>
      </w:r>
      <w:r>
        <w:tab/>
      </w:r>
      <w:r>
        <w:fldChar w:fldCharType="begin"/>
      </w:r>
      <w:r>
        <w:instrText xml:space="preserve"> PAGEREF _Toc232603312 \h </w:instrText>
      </w:r>
      <w:r>
        <w:fldChar w:fldCharType="separate"/>
      </w:r>
      <w:r>
        <w:t>7</w:t>
      </w:r>
      <w:r>
        <w:fldChar w:fldCharType="end"/>
      </w:r>
    </w:p>
    <w:p w14:paraId="25120B35" w14:textId="140DB11E" w:rsidR="000E79E3" w:rsidRDefault="000E79E3">
      <w:pPr>
        <w:pStyle w:val="TOC1"/>
        <w:rPr>
          <w:rFonts w:asciiTheme="minorHAnsi" w:eastAsiaTheme="minorEastAsia" w:hAnsiTheme="minorHAnsi" w:cstheme="minorBidi"/>
          <w:bCs w:val="0"/>
          <w:snapToGrid/>
          <w:color w:val="auto"/>
          <w:kern w:val="2"/>
          <w14:ligatures w14:val="standardContextual"/>
        </w:rPr>
      </w:pPr>
      <w:r>
        <w:t>SCHEDULE 1</w:t>
      </w:r>
      <w:r>
        <w:tab/>
      </w:r>
      <w:r>
        <w:fldChar w:fldCharType="begin"/>
      </w:r>
      <w:r>
        <w:instrText xml:space="preserve"> PAGEREF _Toc232603313 \h </w:instrText>
      </w:r>
      <w:r>
        <w:fldChar w:fldCharType="separate"/>
      </w:r>
      <w:r>
        <w:t>8</w:t>
      </w:r>
      <w:r>
        <w:fldChar w:fldCharType="end"/>
      </w:r>
    </w:p>
    <w:p w14:paraId="4044AC46" w14:textId="65DD46EF" w:rsidR="000E79E3" w:rsidRDefault="000E79E3">
      <w:pPr>
        <w:pStyle w:val="TOC2"/>
        <w:rPr>
          <w:rFonts w:asciiTheme="minorHAnsi" w:eastAsiaTheme="minorEastAsia" w:hAnsiTheme="minorHAnsi" w:cstheme="minorBidi"/>
          <w:bCs w:val="0"/>
          <w:snapToGrid/>
          <w:color w:val="auto"/>
          <w:kern w:val="2"/>
          <w14:ligatures w14:val="standardContextual"/>
        </w:rPr>
      </w:pPr>
      <w:r>
        <w:t>The Development</w:t>
      </w:r>
      <w:r>
        <w:tab/>
      </w:r>
      <w:r>
        <w:fldChar w:fldCharType="begin"/>
      </w:r>
      <w:r>
        <w:instrText xml:space="preserve"> PAGEREF _Toc232603314 \h </w:instrText>
      </w:r>
      <w:r>
        <w:fldChar w:fldCharType="separate"/>
      </w:r>
      <w:r>
        <w:t>8</w:t>
      </w:r>
      <w:r>
        <w:fldChar w:fldCharType="end"/>
      </w:r>
    </w:p>
    <w:p w14:paraId="2591BFDD" w14:textId="4AEC5037" w:rsidR="000E79E3" w:rsidRDefault="000E79E3">
      <w:pPr>
        <w:pStyle w:val="TOC1"/>
        <w:rPr>
          <w:rFonts w:asciiTheme="minorHAnsi" w:eastAsiaTheme="minorEastAsia" w:hAnsiTheme="minorHAnsi" w:cstheme="minorBidi"/>
          <w:bCs w:val="0"/>
          <w:snapToGrid/>
          <w:color w:val="auto"/>
          <w:kern w:val="2"/>
          <w14:ligatures w14:val="standardContextual"/>
        </w:rPr>
      </w:pPr>
      <w:r>
        <w:t>SCHEDULE 2</w:t>
      </w:r>
      <w:r>
        <w:tab/>
      </w:r>
      <w:r>
        <w:fldChar w:fldCharType="begin"/>
      </w:r>
      <w:r>
        <w:instrText xml:space="preserve"> PAGEREF _Toc232603315 \h </w:instrText>
      </w:r>
      <w:r>
        <w:fldChar w:fldCharType="separate"/>
      </w:r>
      <w:r>
        <w:t>8</w:t>
      </w:r>
      <w:r>
        <w:fldChar w:fldCharType="end"/>
      </w:r>
    </w:p>
    <w:p w14:paraId="637A513B" w14:textId="106F9738" w:rsidR="000E79E3" w:rsidRDefault="000E79E3">
      <w:pPr>
        <w:pStyle w:val="TOC2"/>
        <w:rPr>
          <w:rFonts w:asciiTheme="minorHAnsi" w:eastAsiaTheme="minorEastAsia" w:hAnsiTheme="minorHAnsi" w:cstheme="minorBidi"/>
          <w:bCs w:val="0"/>
          <w:snapToGrid/>
          <w:color w:val="auto"/>
          <w:kern w:val="2"/>
          <w14:ligatures w14:val="standardContextual"/>
        </w:rPr>
      </w:pPr>
      <w:r>
        <w:t>Performance Deadlines (planning application)</w:t>
      </w:r>
      <w:r>
        <w:tab/>
      </w:r>
      <w:r>
        <w:fldChar w:fldCharType="begin"/>
      </w:r>
      <w:r>
        <w:instrText xml:space="preserve"> PAGEREF _Toc232603316 \h </w:instrText>
      </w:r>
      <w:r>
        <w:fldChar w:fldCharType="separate"/>
      </w:r>
      <w:r>
        <w:t>8</w:t>
      </w:r>
      <w:r>
        <w:fldChar w:fldCharType="end"/>
      </w:r>
    </w:p>
    <w:p w14:paraId="668B3D5E" w14:textId="07F62157" w:rsidR="000E79E3" w:rsidRDefault="000E79E3">
      <w:pPr>
        <w:pStyle w:val="TOC2"/>
        <w:rPr>
          <w:rFonts w:asciiTheme="minorHAnsi" w:eastAsiaTheme="minorEastAsia" w:hAnsiTheme="minorHAnsi" w:cstheme="minorBidi"/>
          <w:bCs w:val="0"/>
          <w:snapToGrid/>
          <w:color w:val="auto"/>
          <w:kern w:val="2"/>
          <w14:ligatures w14:val="standardContextual"/>
        </w:rPr>
      </w:pPr>
      <w:r>
        <w:t>Performance Deadlines (conditions or amendments)</w:t>
      </w:r>
      <w:r>
        <w:tab/>
      </w:r>
      <w:r>
        <w:fldChar w:fldCharType="begin"/>
      </w:r>
      <w:r>
        <w:instrText xml:space="preserve"> PAGEREF _Toc232603317 \h </w:instrText>
      </w:r>
      <w:r>
        <w:fldChar w:fldCharType="separate"/>
      </w:r>
      <w:r>
        <w:t>8</w:t>
      </w:r>
      <w:r>
        <w:fldChar w:fldCharType="end"/>
      </w:r>
    </w:p>
    <w:p w14:paraId="1AACFC77" w14:textId="06BE1F6F" w:rsidR="00AC39FE" w:rsidRPr="00D10CC9" w:rsidRDefault="00306BEA" w:rsidP="00AC39FE">
      <w:r>
        <w:fldChar w:fldCharType="end"/>
      </w:r>
    </w:p>
    <w:p w14:paraId="2AE56310" w14:textId="77777777" w:rsidR="004C7461" w:rsidRDefault="00306BEA" w:rsidP="00916B14">
      <w:pPr>
        <w:pStyle w:val="TOC1"/>
      </w:pPr>
      <w:r>
        <w:br w:type="page"/>
      </w:r>
    </w:p>
    <w:p w14:paraId="0DEF4BF4" w14:textId="07806047" w:rsidR="002C1C0C" w:rsidRDefault="002C1C0C" w:rsidP="002C1C0C">
      <w:pPr>
        <w:sectPr w:rsidR="002C1C0C" w:rsidSect="005F3FA5">
          <w:headerReference w:type="default" r:id="rId8"/>
          <w:headerReference w:type="first" r:id="rId9"/>
          <w:footerReference w:type="first" r:id="rId10"/>
          <w:pgSz w:w="11906" w:h="16838" w:code="9"/>
          <w:pgMar w:top="1247" w:right="1247" w:bottom="1361" w:left="1247" w:header="680" w:footer="567" w:gutter="0"/>
          <w:cols w:space="720"/>
          <w:titlePg/>
          <w:docGrid w:linePitch="326"/>
        </w:sectPr>
      </w:pPr>
      <w:bookmarkStart w:id="0" w:name="_Toc9511402"/>
      <w:bookmarkStart w:id="1" w:name="_Toc26046461"/>
    </w:p>
    <w:bookmarkEnd w:id="0"/>
    <w:bookmarkEnd w:id="1"/>
    <w:p w14:paraId="3EE521B8" w14:textId="20FEF2F9" w:rsidR="00D95847" w:rsidRPr="00611DC1" w:rsidRDefault="00D95847" w:rsidP="00682E57">
      <w:pPr>
        <w:pStyle w:val="BodyText"/>
        <w:numPr>
          <w:ilvl w:val="0"/>
          <w:numId w:val="0"/>
        </w:numPr>
      </w:pPr>
      <w:r w:rsidRPr="00611DC1">
        <w:lastRenderedPageBreak/>
        <w:t>This Planning Performance Agreement (PPA) is made XX day of XXX 20XX between</w:t>
      </w:r>
      <w:r w:rsidR="00D0291E">
        <w:t>:</w:t>
      </w:r>
      <w:r w:rsidRPr="00611DC1">
        <w:t xml:space="preserve"> </w:t>
      </w:r>
    </w:p>
    <w:p w14:paraId="774B6017" w14:textId="17B2928A" w:rsidR="00D95847" w:rsidRPr="00611DC1" w:rsidRDefault="00935388" w:rsidP="00D95847">
      <w:pPr>
        <w:pStyle w:val="ListNumbered"/>
        <w:ind w:left="357"/>
        <w:contextualSpacing w:val="0"/>
      </w:pPr>
      <w:r w:rsidRPr="00611DC1">
        <w:t>[</w:t>
      </w:r>
      <w:r w:rsidRPr="00D0291E">
        <w:rPr>
          <w:highlight w:val="lightGray"/>
        </w:rPr>
        <w:t>NAME OF COUNCIL</w:t>
      </w:r>
      <w:r w:rsidRPr="00611DC1">
        <w:t>]</w:t>
      </w:r>
      <w:r w:rsidR="00D95847" w:rsidRPr="00611DC1">
        <w:t>, [</w:t>
      </w:r>
      <w:r w:rsidR="00D95847" w:rsidRPr="00D0291E">
        <w:rPr>
          <w:highlight w:val="lightGray"/>
        </w:rPr>
        <w:t>ADDRESS</w:t>
      </w:r>
      <w:r w:rsidR="00D95847" w:rsidRPr="00611DC1">
        <w:t xml:space="preserve">] (“Council”) </w:t>
      </w:r>
    </w:p>
    <w:p w14:paraId="21B240CD" w14:textId="57C70DF7" w:rsidR="00D95847" w:rsidRPr="00611DC1" w:rsidRDefault="00F15AF4" w:rsidP="00D95847">
      <w:pPr>
        <w:pStyle w:val="ListNumbered"/>
        <w:ind w:left="357"/>
        <w:contextualSpacing w:val="0"/>
      </w:pPr>
      <w:r>
        <w:t>[NAME OF DEVELOPER</w:t>
      </w:r>
      <w:r w:rsidRPr="00611DC1">
        <w:t>], [ADDRESS] (</w:t>
      </w:r>
      <w:r w:rsidR="006C0C6B">
        <w:t>“Developer”</w:t>
      </w:r>
      <w:r w:rsidR="00D95847" w:rsidRPr="00611DC1">
        <w:t xml:space="preserve">) </w:t>
      </w:r>
    </w:p>
    <w:p w14:paraId="4E6CC86C" w14:textId="77777777" w:rsidR="00D95847" w:rsidRPr="00611DC1" w:rsidRDefault="00D95847" w:rsidP="000A78E1">
      <w:pPr>
        <w:pStyle w:val="Heading1"/>
        <w:numPr>
          <w:ilvl w:val="0"/>
          <w:numId w:val="7"/>
        </w:numPr>
      </w:pPr>
      <w:bookmarkStart w:id="2" w:name="_Toc26107742"/>
      <w:bookmarkStart w:id="3" w:name="_Toc26110628"/>
      <w:bookmarkStart w:id="4" w:name="_Toc31491215"/>
      <w:bookmarkStart w:id="5" w:name="_Toc226906708"/>
      <w:bookmarkStart w:id="6" w:name="_Toc232603298"/>
      <w:r w:rsidRPr="00611DC1">
        <w:t>Recitals</w:t>
      </w:r>
      <w:bookmarkEnd w:id="2"/>
      <w:bookmarkEnd w:id="3"/>
      <w:bookmarkEnd w:id="4"/>
      <w:bookmarkEnd w:id="5"/>
      <w:bookmarkEnd w:id="6"/>
      <w:r w:rsidRPr="00611DC1">
        <w:t xml:space="preserve"> </w:t>
      </w:r>
    </w:p>
    <w:p w14:paraId="3E51A9CE" w14:textId="77777777" w:rsidR="00D95847" w:rsidRPr="00611DC1" w:rsidRDefault="00D95847" w:rsidP="00682E57">
      <w:pPr>
        <w:pStyle w:val="BodyText"/>
      </w:pPr>
      <w:r w:rsidRPr="00611DC1">
        <w:t xml:space="preserve">The Council is the local planning authority for development within the area in which the Development (set out in Schedule 1) is located. </w:t>
      </w:r>
    </w:p>
    <w:p w14:paraId="5DEC241E" w14:textId="77777777" w:rsidR="00D95847" w:rsidRPr="00611DC1" w:rsidRDefault="00D95847" w:rsidP="00682E57">
      <w:pPr>
        <w:pStyle w:val="BodyText"/>
      </w:pPr>
      <w:r w:rsidRPr="00611DC1">
        <w:t xml:space="preserve">The Developer intends to submit a Planning Application for the Development to the Council. </w:t>
      </w:r>
    </w:p>
    <w:p w14:paraId="47327C66" w14:textId="77777777" w:rsidR="00D95847" w:rsidRPr="00611DC1" w:rsidRDefault="00D95847" w:rsidP="00682E57">
      <w:pPr>
        <w:pStyle w:val="BodyText"/>
      </w:pPr>
      <w:r w:rsidRPr="00611DC1">
        <w:t xml:space="preserve">The Developer has entered into pre-application discussions with the Council regarding the Development. </w:t>
      </w:r>
    </w:p>
    <w:p w14:paraId="76DB254D" w14:textId="77777777" w:rsidR="00D95847" w:rsidRPr="00611DC1" w:rsidRDefault="00D95847" w:rsidP="00682E57">
      <w:pPr>
        <w:pStyle w:val="BodyText"/>
      </w:pPr>
      <w:r w:rsidRPr="00611DC1">
        <w:t xml:space="preserve">The Planning Application will be an application for planning permission [and any related application for listed building consent] submitted to the Council for the Development. Reference to a Planning Application in this PPA is to an application that has been submitted to the Council by the Developer and has been registered by the Council on the Statutory Register as a valid planning application. </w:t>
      </w:r>
    </w:p>
    <w:p w14:paraId="5032E96B" w14:textId="77777777" w:rsidR="00D95847" w:rsidRPr="00611DC1" w:rsidRDefault="00D95847" w:rsidP="00682E57">
      <w:pPr>
        <w:pStyle w:val="BodyText"/>
      </w:pPr>
      <w:r w:rsidRPr="00611DC1">
        <w:t xml:space="preserve">Given the complexity of the proposals and the range of issues involved, it is acknowledged by the Developer and the Council that the Council is unlikely to be able to formally determine the Planning Application within the statutory period of [8][13][16] weeks. Nevertheless, both parties wish to ensure that the Planning Application is considered in a timely manner and as expeditiously as is practicable, having regard to the timetable set out in this PPA and compliance with relevant statutory procedures. </w:t>
      </w:r>
    </w:p>
    <w:p w14:paraId="4C317DD2" w14:textId="77777777" w:rsidR="00D95847" w:rsidRPr="00611DC1" w:rsidRDefault="00D95847" w:rsidP="00682E57">
      <w:pPr>
        <w:pStyle w:val="BodyText"/>
      </w:pPr>
      <w:r w:rsidRPr="00611DC1">
        <w:t xml:space="preserve">This PPA seeks to agree requirements and timescales for: </w:t>
      </w:r>
    </w:p>
    <w:p w14:paraId="21B4B3DD" w14:textId="584E9D10" w:rsidR="00D95847" w:rsidRPr="00611DC1" w:rsidRDefault="00D95847" w:rsidP="00D95847">
      <w:pPr>
        <w:pStyle w:val="ListBullet"/>
      </w:pPr>
      <w:r w:rsidRPr="00611DC1">
        <w:t>the pre-application process;</w:t>
      </w:r>
      <w:r w:rsidR="00FC5B99">
        <w:t xml:space="preserve"> [and]</w:t>
      </w:r>
    </w:p>
    <w:p w14:paraId="2C64DF35" w14:textId="78D09DD5" w:rsidR="00D95847" w:rsidRPr="00611DC1" w:rsidRDefault="00D95847" w:rsidP="00D95847">
      <w:pPr>
        <w:pStyle w:val="ListBullet"/>
      </w:pPr>
      <w:r w:rsidRPr="00611DC1">
        <w:t>the consideration and determination of the Planning Application</w:t>
      </w:r>
      <w:r w:rsidR="00D01CA5">
        <w:t>[.] [</w:t>
      </w:r>
      <w:r w:rsidRPr="00611DC1">
        <w:t>;</w:t>
      </w:r>
      <w:r w:rsidR="00D01CA5">
        <w:t>]</w:t>
      </w:r>
      <w:r w:rsidRPr="00611DC1">
        <w:t xml:space="preserve"> and</w:t>
      </w:r>
    </w:p>
    <w:p w14:paraId="34D3B764" w14:textId="77777777" w:rsidR="00D95847" w:rsidRPr="00611DC1" w:rsidRDefault="00D95847" w:rsidP="00D95847">
      <w:pPr>
        <w:pStyle w:val="ListBullet"/>
      </w:pPr>
      <w:r w:rsidRPr="00611DC1">
        <w:t xml:space="preserve">[the post decision period (such as dealing with conditions or amendments),] </w:t>
      </w:r>
    </w:p>
    <w:p w14:paraId="392F4794" w14:textId="77777777" w:rsidR="00D95847" w:rsidRPr="00611DC1" w:rsidRDefault="00D95847" w:rsidP="00682E57">
      <w:pPr>
        <w:pStyle w:val="BodyText"/>
        <w:numPr>
          <w:ilvl w:val="0"/>
          <w:numId w:val="0"/>
        </w:numPr>
        <w:ind w:left="720"/>
      </w:pPr>
      <w:r w:rsidRPr="00611DC1">
        <w:t xml:space="preserve">for the purposes of providing the parties with a level of certainty as to the process and timescale to be followed. </w:t>
      </w:r>
    </w:p>
    <w:p w14:paraId="65D9C0D8" w14:textId="77777777" w:rsidR="00D95847" w:rsidRPr="00611DC1" w:rsidRDefault="00D95847" w:rsidP="00682E57">
      <w:pPr>
        <w:pStyle w:val="BodyText"/>
      </w:pPr>
      <w:r w:rsidRPr="00611DC1">
        <w:t xml:space="preserve">The PPA does not act as a legal agreement with respect to these requirements and timescales but as a memorandum of understanding to enable the requirements and timescales to be achieved. </w:t>
      </w:r>
    </w:p>
    <w:p w14:paraId="6DC814A1" w14:textId="5D57D3DA" w:rsidR="00D95847" w:rsidRPr="00611DC1" w:rsidRDefault="00D95847" w:rsidP="00682E57">
      <w:pPr>
        <w:pStyle w:val="BodyText"/>
      </w:pPr>
      <w:r w:rsidRPr="00611DC1">
        <w:t xml:space="preserve">This PPA </w:t>
      </w:r>
      <w:r w:rsidR="00DD3591">
        <w:t>can</w:t>
      </w:r>
      <w:r w:rsidRPr="00611DC1">
        <w:t xml:space="preserve">not fetter the Council in exercising its statutory duties as local planning authority. It will not prejudice the outcome of the Planning Application </w:t>
      </w:r>
      <w:r w:rsidR="00DD3591">
        <w:t>n</w:t>
      </w:r>
      <w:r w:rsidRPr="00611DC1">
        <w:t>or the impartiality of the Council. This includes the timing and method of determining the Planning Application.</w:t>
      </w:r>
    </w:p>
    <w:p w14:paraId="2FCC4F7D" w14:textId="77777777" w:rsidR="00D95847" w:rsidRPr="00611DC1" w:rsidRDefault="00D95847" w:rsidP="00682E57">
      <w:pPr>
        <w:pStyle w:val="BodyText"/>
      </w:pPr>
      <w:r w:rsidRPr="00611DC1">
        <w:t xml:space="preserve">This PPA shall not restrict or inhibit the Developer from exercising their right of appeal under Section 78 of the Town and Country Planning Act 1990. </w:t>
      </w:r>
    </w:p>
    <w:p w14:paraId="4C123092" w14:textId="77777777" w:rsidR="00D95847" w:rsidRPr="00611DC1" w:rsidRDefault="00D95847" w:rsidP="00682E57">
      <w:pPr>
        <w:pStyle w:val="BodyText"/>
      </w:pPr>
      <w:r w:rsidRPr="00611DC1">
        <w:t xml:space="preserve">This PPA is made pursuant to Section 111 of the Local Government Act 1972, Section 2 of the Local Government Act 2000 and Section 93 of the Local Government Act 2003. </w:t>
      </w:r>
    </w:p>
    <w:p w14:paraId="70DE39C9" w14:textId="77777777" w:rsidR="00D95847" w:rsidRPr="00611DC1" w:rsidRDefault="00D95847" w:rsidP="000A78E1">
      <w:pPr>
        <w:pStyle w:val="Heading1"/>
        <w:numPr>
          <w:ilvl w:val="0"/>
          <w:numId w:val="7"/>
        </w:numPr>
      </w:pPr>
      <w:bookmarkStart w:id="7" w:name="_Toc26107743"/>
      <w:bookmarkStart w:id="8" w:name="_Toc26110629"/>
      <w:bookmarkStart w:id="9" w:name="_Toc31491216"/>
      <w:bookmarkStart w:id="10" w:name="_Toc226906709"/>
      <w:bookmarkStart w:id="11" w:name="_Toc232603299"/>
      <w:r w:rsidRPr="00611DC1">
        <w:lastRenderedPageBreak/>
        <w:t>Term</w:t>
      </w:r>
      <w:bookmarkEnd w:id="7"/>
      <w:bookmarkEnd w:id="8"/>
      <w:bookmarkEnd w:id="9"/>
      <w:bookmarkEnd w:id="10"/>
      <w:bookmarkEnd w:id="11"/>
      <w:r w:rsidRPr="00611DC1">
        <w:t xml:space="preserve"> </w:t>
      </w:r>
    </w:p>
    <w:p w14:paraId="185BD1AD" w14:textId="77777777" w:rsidR="00D95847" w:rsidRPr="00611DC1" w:rsidRDefault="00D95847" w:rsidP="00682E57">
      <w:pPr>
        <w:pStyle w:val="BodyText"/>
      </w:pPr>
      <w:r w:rsidRPr="00611DC1">
        <w:t>This PPA will apply from the date it is signed by both parties and shall remain in force until the Decision Date (see Schedule 2) unless terminated earlier pursuant to clause 4.</w:t>
      </w:r>
    </w:p>
    <w:p w14:paraId="1587A4DB" w14:textId="77777777" w:rsidR="00D95847" w:rsidRPr="00FD00CF" w:rsidRDefault="00D95847" w:rsidP="00682E57">
      <w:pPr>
        <w:pStyle w:val="BodyText"/>
        <w:numPr>
          <w:ilvl w:val="0"/>
          <w:numId w:val="0"/>
        </w:numPr>
        <w:rPr>
          <w:i/>
          <w:iCs/>
        </w:rPr>
      </w:pPr>
      <w:r w:rsidRPr="00FD00CF">
        <w:rPr>
          <w:i/>
          <w:iCs/>
        </w:rPr>
        <w:t>[or if to cover post decision services]</w:t>
      </w:r>
    </w:p>
    <w:p w14:paraId="0FCC1238" w14:textId="77777777" w:rsidR="00D95847" w:rsidRPr="00611DC1" w:rsidRDefault="00D95847" w:rsidP="00682E57">
      <w:pPr>
        <w:pStyle w:val="BodyText"/>
      </w:pPr>
      <w:r w:rsidRPr="00611DC1">
        <w:t>This PPA will apply from the date it is signed by both parties and shall remain in force until terminated by agreement or terminated earlier pursuant to clause 4.</w:t>
      </w:r>
    </w:p>
    <w:p w14:paraId="22E3ABB6" w14:textId="77777777" w:rsidR="00D95847" w:rsidRPr="00611DC1" w:rsidRDefault="00D95847" w:rsidP="00682E57">
      <w:pPr>
        <w:pStyle w:val="BodyText"/>
      </w:pPr>
      <w:r w:rsidRPr="00611DC1">
        <w:t xml:space="preserve">Upon its expiry or earlier termination this PPA shall automatically terminate. </w:t>
      </w:r>
    </w:p>
    <w:p w14:paraId="133F35E5" w14:textId="77777777" w:rsidR="00D95847" w:rsidRPr="00611DC1" w:rsidRDefault="00D95847" w:rsidP="000A78E1">
      <w:pPr>
        <w:pStyle w:val="Heading1"/>
        <w:numPr>
          <w:ilvl w:val="0"/>
          <w:numId w:val="7"/>
        </w:numPr>
      </w:pPr>
      <w:bookmarkStart w:id="12" w:name="_Toc26107744"/>
      <w:bookmarkStart w:id="13" w:name="_Toc26110630"/>
      <w:bookmarkStart w:id="14" w:name="_Toc31491217"/>
      <w:bookmarkStart w:id="15" w:name="_Toc226906710"/>
      <w:bookmarkStart w:id="16" w:name="_Toc232603300"/>
      <w:r w:rsidRPr="00611DC1">
        <w:t>Amendment and Review</w:t>
      </w:r>
      <w:bookmarkEnd w:id="12"/>
      <w:bookmarkEnd w:id="13"/>
      <w:bookmarkEnd w:id="14"/>
      <w:bookmarkEnd w:id="15"/>
      <w:bookmarkEnd w:id="16"/>
      <w:r w:rsidRPr="00611DC1">
        <w:t xml:space="preserve"> </w:t>
      </w:r>
    </w:p>
    <w:p w14:paraId="7B033E52" w14:textId="0767B16E" w:rsidR="00D95847" w:rsidRPr="00611DC1" w:rsidRDefault="00D95847" w:rsidP="00682E57">
      <w:pPr>
        <w:pStyle w:val="BodyText"/>
      </w:pPr>
      <w:r w:rsidRPr="00611DC1">
        <w:t>The PPA shall be subject to review as may be agreed between the Developer and the Council and any agreed variation of its terms shall be evidenced in writing</w:t>
      </w:r>
      <w:r w:rsidR="00C701D9">
        <w:t>,</w:t>
      </w:r>
      <w:r w:rsidRPr="00611DC1">
        <w:t xml:space="preserve"> signed by both parties. </w:t>
      </w:r>
    </w:p>
    <w:p w14:paraId="467ACF78" w14:textId="77777777" w:rsidR="00D95847" w:rsidRPr="00611DC1" w:rsidRDefault="00D95847" w:rsidP="00682E57">
      <w:pPr>
        <w:pStyle w:val="BodyText"/>
      </w:pPr>
      <w:r w:rsidRPr="00611DC1">
        <w:t>For the avoidance of doubt, a two-way exchange of emails between both parties that clearly state that a variation of its terms is agreed by both parties, shall serve that purpose.</w:t>
      </w:r>
    </w:p>
    <w:p w14:paraId="7075F5D9" w14:textId="77777777" w:rsidR="00D95847" w:rsidRPr="00611DC1" w:rsidRDefault="00D95847" w:rsidP="000A78E1">
      <w:pPr>
        <w:pStyle w:val="Heading1"/>
        <w:numPr>
          <w:ilvl w:val="0"/>
          <w:numId w:val="7"/>
        </w:numPr>
      </w:pPr>
      <w:bookmarkStart w:id="17" w:name="_Toc26107745"/>
      <w:bookmarkStart w:id="18" w:name="_Toc26110631"/>
      <w:bookmarkStart w:id="19" w:name="_Toc31491218"/>
      <w:bookmarkStart w:id="20" w:name="_Toc226906711"/>
      <w:bookmarkStart w:id="21" w:name="_Toc232603301"/>
      <w:r w:rsidRPr="00611DC1">
        <w:t>Breach and Termination</w:t>
      </w:r>
      <w:bookmarkEnd w:id="17"/>
      <w:bookmarkEnd w:id="18"/>
      <w:bookmarkEnd w:id="19"/>
      <w:bookmarkEnd w:id="20"/>
      <w:bookmarkEnd w:id="21"/>
      <w:r w:rsidRPr="00611DC1">
        <w:t xml:space="preserve"> </w:t>
      </w:r>
    </w:p>
    <w:p w14:paraId="78657C11" w14:textId="77777777" w:rsidR="00D95847" w:rsidRPr="00611DC1" w:rsidRDefault="00D95847" w:rsidP="00682E57">
      <w:pPr>
        <w:pStyle w:val="BodyText"/>
      </w:pPr>
      <w:r w:rsidRPr="00611DC1">
        <w:t xml:space="preserve">Provided always that any breach is within the control of the party that is in breach, if either party considers that: </w:t>
      </w:r>
    </w:p>
    <w:p w14:paraId="68558A4A" w14:textId="77777777" w:rsidR="00D95847" w:rsidRPr="00611DC1" w:rsidRDefault="00D95847" w:rsidP="00D95847">
      <w:pPr>
        <w:pStyle w:val="ListBullet"/>
      </w:pPr>
      <w:r w:rsidRPr="00611DC1">
        <w:t>the circumstances that brought about this PPA no longer apply;</w:t>
      </w:r>
    </w:p>
    <w:p w14:paraId="34A72B4D" w14:textId="77777777" w:rsidR="00D95847" w:rsidRPr="00611DC1" w:rsidRDefault="00D95847" w:rsidP="00D95847">
      <w:pPr>
        <w:pStyle w:val="ListBullet"/>
      </w:pPr>
      <w:r w:rsidRPr="00611DC1">
        <w:t>the principles and intentions of this PPA are not being followed; or</w:t>
      </w:r>
    </w:p>
    <w:p w14:paraId="0C34EA77" w14:textId="77777777" w:rsidR="00D95847" w:rsidRPr="00611DC1" w:rsidRDefault="00D95847" w:rsidP="00D95847">
      <w:pPr>
        <w:pStyle w:val="ListBullet"/>
      </w:pPr>
      <w:r w:rsidRPr="00611DC1">
        <w:t>there is a material failure by the other party to comply with the terms of this PPA,</w:t>
      </w:r>
    </w:p>
    <w:p w14:paraId="65138143" w14:textId="77777777" w:rsidR="00D95847" w:rsidRPr="00611DC1" w:rsidRDefault="00D95847" w:rsidP="00682E57">
      <w:pPr>
        <w:pStyle w:val="BodyText"/>
        <w:numPr>
          <w:ilvl w:val="0"/>
          <w:numId w:val="0"/>
        </w:numPr>
        <w:ind w:left="720"/>
      </w:pPr>
      <w:r w:rsidRPr="00611DC1">
        <w:t xml:space="preserve">it will draw their concerns to the attention of the other party. The other party will then have a period of not less than 10 working days within which to comment on and/or address the concerns. If the concerns are not addressed, the first party may then terminate the agreement at any point following the expiry of that period. </w:t>
      </w:r>
    </w:p>
    <w:p w14:paraId="3852E3B9" w14:textId="77777777" w:rsidR="00D95847" w:rsidRDefault="00D95847" w:rsidP="00682E57">
      <w:pPr>
        <w:pStyle w:val="BodyText"/>
      </w:pPr>
      <w:r w:rsidRPr="00611DC1">
        <w:t xml:space="preserve">The PPA will also be terminated where: </w:t>
      </w:r>
    </w:p>
    <w:p w14:paraId="6BDC4401" w14:textId="3FA5F7CD" w:rsidR="005F4497" w:rsidRPr="005F4497" w:rsidRDefault="005F4497" w:rsidP="005F4497">
      <w:pPr>
        <w:pStyle w:val="BodyText"/>
        <w:numPr>
          <w:ilvl w:val="0"/>
          <w:numId w:val="0"/>
        </w:numPr>
        <w:rPr>
          <w:i/>
          <w:iCs/>
        </w:rPr>
      </w:pPr>
      <w:r w:rsidRPr="005F4497">
        <w:rPr>
          <w:i/>
          <w:iCs/>
        </w:rPr>
        <w:t>[Delete what</w:t>
      </w:r>
      <w:r w:rsidR="00ED06DC">
        <w:rPr>
          <w:i/>
          <w:iCs/>
        </w:rPr>
        <w:t xml:space="preserve"> i</w:t>
      </w:r>
      <w:r w:rsidRPr="005F4497">
        <w:rPr>
          <w:i/>
          <w:iCs/>
        </w:rPr>
        <w:t>s not relevant]</w:t>
      </w:r>
    </w:p>
    <w:p w14:paraId="5EF6F7C3" w14:textId="77777777" w:rsidR="00D95847" w:rsidRPr="00611DC1" w:rsidRDefault="00D95847" w:rsidP="00D95847">
      <w:pPr>
        <w:pStyle w:val="ListBullet"/>
      </w:pPr>
      <w:r w:rsidRPr="00611DC1">
        <w:t xml:space="preserve">the Developer submits an appeal under Section 78 of the Town and Country planning Act 1990 in relation to the Planning Application (for whatever reason); </w:t>
      </w:r>
    </w:p>
    <w:p w14:paraId="438BDF96" w14:textId="77777777" w:rsidR="00D95847" w:rsidRPr="00611DC1" w:rsidRDefault="00D95847" w:rsidP="00D95847">
      <w:pPr>
        <w:pStyle w:val="ListBullet"/>
      </w:pPr>
      <w:r w:rsidRPr="00611DC1">
        <w:t xml:space="preserve">the Planning Application is called in by the Secretary of State; or </w:t>
      </w:r>
    </w:p>
    <w:p w14:paraId="680D5EF9" w14:textId="77777777" w:rsidR="00D95847" w:rsidRPr="00611DC1" w:rsidRDefault="00D95847" w:rsidP="00D95847">
      <w:pPr>
        <w:pStyle w:val="ListBullet"/>
      </w:pPr>
      <w:r w:rsidRPr="00611DC1">
        <w:t>the Mayor of London issues a Direction pursuant to Section 2A of the Town and Country Planning Act 1990.</w:t>
      </w:r>
    </w:p>
    <w:p w14:paraId="1C8B02E4" w14:textId="77777777" w:rsidR="000E79E3" w:rsidRDefault="000E79E3">
      <w:pPr>
        <w:spacing w:after="240"/>
        <w:rPr>
          <w:color w:val="009696"/>
          <w:sz w:val="40"/>
          <w:szCs w:val="40"/>
        </w:rPr>
      </w:pPr>
      <w:bookmarkStart w:id="22" w:name="_Toc26107746"/>
      <w:bookmarkStart w:id="23" w:name="_Toc26110632"/>
      <w:bookmarkStart w:id="24" w:name="_Toc31491219"/>
      <w:bookmarkStart w:id="25" w:name="_Toc226906712"/>
      <w:r>
        <w:br w:type="page"/>
      </w:r>
    </w:p>
    <w:p w14:paraId="64015C5C" w14:textId="4354854F" w:rsidR="00D95847" w:rsidRPr="00611DC1" w:rsidRDefault="00D95847" w:rsidP="00D95847">
      <w:pPr>
        <w:pStyle w:val="Heading1"/>
      </w:pPr>
      <w:bookmarkStart w:id="26" w:name="_Toc232603302"/>
      <w:r w:rsidRPr="00611DC1">
        <w:lastRenderedPageBreak/>
        <w:t>Obligations</w:t>
      </w:r>
      <w:bookmarkEnd w:id="22"/>
      <w:bookmarkEnd w:id="23"/>
      <w:bookmarkEnd w:id="24"/>
      <w:bookmarkEnd w:id="25"/>
      <w:bookmarkEnd w:id="26"/>
      <w:r w:rsidRPr="00611DC1">
        <w:t xml:space="preserve"> </w:t>
      </w:r>
    </w:p>
    <w:p w14:paraId="23411076" w14:textId="77777777" w:rsidR="00D95847" w:rsidRPr="00611DC1" w:rsidRDefault="00D95847" w:rsidP="00682E57">
      <w:pPr>
        <w:pStyle w:val="BodyText"/>
      </w:pPr>
      <w:r w:rsidRPr="00611DC1">
        <w:t xml:space="preserve">All Parties shall act with fairness and good faith in respect of all matters related to the pre-application process and the handling of the Planning Application and will work jointly in complying with their respective obligations under this PPA. </w:t>
      </w:r>
    </w:p>
    <w:p w14:paraId="12214CF2" w14:textId="77777777" w:rsidR="00D95847" w:rsidRPr="00611DC1" w:rsidRDefault="00D95847" w:rsidP="00682E57">
      <w:pPr>
        <w:pStyle w:val="BodyText"/>
      </w:pPr>
      <w:r w:rsidRPr="00611DC1">
        <w:t xml:space="preserve">The parties to the PPA have agreed to progress the pre-application process to the timetable and performance standards set out in the Planning Statement &amp; Project Plan documents. This will be subject to monitoring and mutual adjustment as necessary by the parties. </w:t>
      </w:r>
    </w:p>
    <w:p w14:paraId="22919DBB" w14:textId="77777777" w:rsidR="00D95847" w:rsidRPr="00611DC1" w:rsidRDefault="00D95847" w:rsidP="00D95847">
      <w:pPr>
        <w:pStyle w:val="Heading2"/>
      </w:pPr>
      <w:bookmarkStart w:id="27" w:name="_Toc26107747"/>
      <w:bookmarkStart w:id="28" w:name="_Toc26110633"/>
      <w:bookmarkStart w:id="29" w:name="_Toc31491220"/>
      <w:bookmarkStart w:id="30" w:name="_Toc226906713"/>
      <w:bookmarkStart w:id="31" w:name="_Toc232603303"/>
      <w:r w:rsidRPr="00611DC1">
        <w:t>Developer’s obligations</w:t>
      </w:r>
      <w:bookmarkEnd w:id="27"/>
      <w:bookmarkEnd w:id="28"/>
      <w:bookmarkEnd w:id="29"/>
      <w:bookmarkEnd w:id="30"/>
      <w:bookmarkEnd w:id="31"/>
    </w:p>
    <w:p w14:paraId="475CE327" w14:textId="77777777" w:rsidR="00D95847" w:rsidRPr="00611DC1" w:rsidRDefault="00D95847" w:rsidP="00682E57">
      <w:pPr>
        <w:pStyle w:val="BodyText"/>
      </w:pPr>
      <w:r w:rsidRPr="00611DC1">
        <w:t xml:space="preserve">The Developer agrees to use its reasonable endeavours to: </w:t>
      </w:r>
    </w:p>
    <w:p w14:paraId="51832F4D" w14:textId="77777777" w:rsidR="00D95847" w:rsidRPr="00611DC1" w:rsidRDefault="00D95847" w:rsidP="00D95847">
      <w:pPr>
        <w:pStyle w:val="ListBullet"/>
      </w:pPr>
      <w:r w:rsidRPr="00611DC1">
        <w:t xml:space="preserve">follow the agreed Pre-Application timetable set out in the Project Plan; </w:t>
      </w:r>
    </w:p>
    <w:p w14:paraId="30BA7889" w14:textId="77777777" w:rsidR="00D95847" w:rsidRPr="00611DC1" w:rsidRDefault="00D95847" w:rsidP="00D95847">
      <w:pPr>
        <w:pStyle w:val="ListBullet"/>
      </w:pPr>
      <w:r w:rsidRPr="00611DC1">
        <w:t>comply with the Performance Standards set out in the Planning Statement; and</w:t>
      </w:r>
    </w:p>
    <w:p w14:paraId="7CAEF842" w14:textId="77777777" w:rsidR="00D95847" w:rsidRPr="00611DC1" w:rsidRDefault="00D95847" w:rsidP="00D95847">
      <w:pPr>
        <w:pStyle w:val="ListBullet"/>
      </w:pPr>
      <w:r w:rsidRPr="00611DC1">
        <w:t>meet the Performance Deadlines set out in Schedule 2 of this Agreement.</w:t>
      </w:r>
    </w:p>
    <w:p w14:paraId="5F76E9AC" w14:textId="77777777" w:rsidR="00D95847" w:rsidRPr="00611DC1" w:rsidRDefault="00D95847" w:rsidP="00D95847">
      <w:pPr>
        <w:pStyle w:val="Heading2"/>
      </w:pPr>
      <w:bookmarkStart w:id="32" w:name="_Toc26107748"/>
      <w:bookmarkStart w:id="33" w:name="_Toc26110634"/>
      <w:bookmarkStart w:id="34" w:name="_Toc31491221"/>
      <w:bookmarkStart w:id="35" w:name="_Toc226906714"/>
      <w:bookmarkStart w:id="36" w:name="_Toc232603304"/>
      <w:r w:rsidRPr="00611DC1">
        <w:t>Council’s Obligations</w:t>
      </w:r>
      <w:bookmarkEnd w:id="32"/>
      <w:bookmarkEnd w:id="33"/>
      <w:bookmarkEnd w:id="34"/>
      <w:bookmarkEnd w:id="35"/>
      <w:bookmarkEnd w:id="36"/>
      <w:r w:rsidRPr="00611DC1">
        <w:t xml:space="preserve"> </w:t>
      </w:r>
    </w:p>
    <w:p w14:paraId="6FEF4253" w14:textId="77777777" w:rsidR="00D95847" w:rsidRPr="00611DC1" w:rsidRDefault="00D95847" w:rsidP="00682E57">
      <w:pPr>
        <w:pStyle w:val="BodyText"/>
      </w:pPr>
      <w:r w:rsidRPr="00611DC1">
        <w:t xml:space="preserve">Without prejudice to its role as local planning authority, the Council agrees to use its reasonable endeavours to: </w:t>
      </w:r>
    </w:p>
    <w:p w14:paraId="48D057FF" w14:textId="77777777" w:rsidR="00D95847" w:rsidRPr="00611DC1" w:rsidRDefault="00D95847" w:rsidP="00D95847">
      <w:pPr>
        <w:pStyle w:val="ListBullet"/>
      </w:pPr>
      <w:r w:rsidRPr="00611DC1">
        <w:t xml:space="preserve">follow the agreed Pre-Application timetable set out in the Project Plan; </w:t>
      </w:r>
    </w:p>
    <w:p w14:paraId="7BCCB690" w14:textId="77777777" w:rsidR="00D95847" w:rsidRPr="00611DC1" w:rsidRDefault="00D95847" w:rsidP="00D95847">
      <w:pPr>
        <w:pStyle w:val="ListBullet"/>
      </w:pPr>
      <w:r w:rsidRPr="00611DC1">
        <w:t>comply with the Performance Standards set out in the Planning Statement; and</w:t>
      </w:r>
    </w:p>
    <w:p w14:paraId="7784A5D9" w14:textId="77777777" w:rsidR="00D95847" w:rsidRPr="00611DC1" w:rsidRDefault="00D95847" w:rsidP="00D95847">
      <w:pPr>
        <w:pStyle w:val="ListBullet"/>
      </w:pPr>
      <w:r w:rsidRPr="00611DC1">
        <w:t>meet the Performance Deadlines set out in Schedule 2 of this Agreement.</w:t>
      </w:r>
    </w:p>
    <w:p w14:paraId="36DB79A2" w14:textId="77777777" w:rsidR="00D95847" w:rsidRPr="00611DC1" w:rsidRDefault="00D95847" w:rsidP="00D95847">
      <w:pPr>
        <w:pStyle w:val="Heading1"/>
      </w:pPr>
      <w:bookmarkStart w:id="37" w:name="_Toc26107749"/>
      <w:bookmarkStart w:id="38" w:name="_Toc26110635"/>
      <w:bookmarkStart w:id="39" w:name="_Toc31491222"/>
      <w:bookmarkStart w:id="40" w:name="_Toc226906715"/>
      <w:bookmarkStart w:id="41" w:name="_Toc232603305"/>
      <w:r w:rsidRPr="00611DC1">
        <w:t>Fees</w:t>
      </w:r>
      <w:bookmarkEnd w:id="37"/>
      <w:bookmarkEnd w:id="38"/>
      <w:bookmarkEnd w:id="39"/>
      <w:bookmarkEnd w:id="40"/>
      <w:bookmarkEnd w:id="41"/>
      <w:r w:rsidRPr="00611DC1">
        <w:t xml:space="preserve"> </w:t>
      </w:r>
    </w:p>
    <w:p w14:paraId="59369990" w14:textId="2BF2DD8D" w:rsidR="00D95847" w:rsidRPr="00BF6BBE" w:rsidRDefault="00D95847" w:rsidP="00BF6BBE">
      <w:pPr>
        <w:pStyle w:val="BodyText"/>
        <w:numPr>
          <w:ilvl w:val="0"/>
          <w:numId w:val="0"/>
        </w:numPr>
        <w:rPr>
          <w:i/>
          <w:iCs/>
        </w:rPr>
      </w:pPr>
      <w:r w:rsidRPr="00BF6BBE">
        <w:rPr>
          <w:i/>
          <w:iCs/>
        </w:rPr>
        <w:t xml:space="preserve">[NOTE: Select the paragraphs necessary, depending on the fees that are agreed to be paid] </w:t>
      </w:r>
    </w:p>
    <w:p w14:paraId="1EAE0567" w14:textId="77777777" w:rsidR="00D95847" w:rsidRPr="004736AB" w:rsidRDefault="00D95847" w:rsidP="00D95847">
      <w:pPr>
        <w:rPr>
          <w:i/>
          <w:iCs/>
        </w:rPr>
      </w:pPr>
      <w:r w:rsidRPr="004736AB">
        <w:rPr>
          <w:i/>
          <w:iCs/>
        </w:rPr>
        <w:t>[PRE-APPLICATION SERVICE]</w:t>
      </w:r>
    </w:p>
    <w:p w14:paraId="1511FCF7" w14:textId="184FCAFD" w:rsidR="00D95847" w:rsidRPr="00611DC1" w:rsidRDefault="00D95847" w:rsidP="00682E57">
      <w:pPr>
        <w:pStyle w:val="BodyText"/>
      </w:pPr>
      <w:r w:rsidRPr="00611DC1">
        <w:t>In consideration of this PPA, and in addition to the application fees payable under the Town and Country Planning (Fees for Applications and Deemed Applications) Regulations 1989 (as amended) upon submission of the Planning Application, the Developer agrees to pay the Council’s pre-application charges for its Development Team Service and at this stage the service for this Development is expected to cost a total of £</w:t>
      </w:r>
      <w:r w:rsidR="00F91E83">
        <w:t>[</w:t>
      </w:r>
      <w:r w:rsidRPr="00611DC1">
        <w:t>XX,XXX</w:t>
      </w:r>
      <w:r w:rsidR="00F91E83">
        <w:t>]</w:t>
      </w:r>
      <w:r w:rsidRPr="00611DC1">
        <w:t xml:space="preserve"> + VAT. </w:t>
      </w:r>
    </w:p>
    <w:p w14:paraId="6E223A36" w14:textId="77777777" w:rsidR="00D95847" w:rsidRPr="00611DC1" w:rsidRDefault="00D95847" w:rsidP="00682E57">
      <w:pPr>
        <w:pStyle w:val="BodyText"/>
      </w:pPr>
      <w:r w:rsidRPr="00611DC1">
        <w:t>Fifty percent of the fee will be paid prior to the first meeting following the Initiation Meeting and the remaining fifty percent will be paid at the mid-point identified in the Project Plan.</w:t>
      </w:r>
    </w:p>
    <w:p w14:paraId="32202972" w14:textId="77777777" w:rsidR="00D95847" w:rsidRPr="004736AB" w:rsidRDefault="00D95847" w:rsidP="00D95847">
      <w:pPr>
        <w:rPr>
          <w:i/>
          <w:iCs/>
        </w:rPr>
      </w:pPr>
      <w:r w:rsidRPr="004736AB">
        <w:rPr>
          <w:i/>
          <w:iCs/>
        </w:rPr>
        <w:t>[PRE-APPLICATION SERVICE + DEDICATED OFFICER(S)]</w:t>
      </w:r>
    </w:p>
    <w:p w14:paraId="16E2CFC3" w14:textId="77777777" w:rsidR="00D95847" w:rsidRPr="00611DC1" w:rsidRDefault="00D95847" w:rsidP="00682E57">
      <w:pPr>
        <w:pStyle w:val="BodyText"/>
      </w:pPr>
      <w:r w:rsidRPr="00611DC1">
        <w:t xml:space="preserve">In consideration of this PPA, and in addition to the application fees payable under the Town and Country Planning (Fees for Applications and Deemed Applications) Regulations 1989 (as amended) upon submission of the Planning Application, the Developer agrees to pay: </w:t>
      </w:r>
    </w:p>
    <w:p w14:paraId="16491B0C" w14:textId="5F9478CF" w:rsidR="00D95847" w:rsidRPr="00611DC1" w:rsidRDefault="00D95847" w:rsidP="000A78E1">
      <w:pPr>
        <w:pStyle w:val="ListNumbered"/>
        <w:numPr>
          <w:ilvl w:val="0"/>
          <w:numId w:val="6"/>
        </w:numPr>
      </w:pPr>
      <w:r w:rsidRPr="00611DC1">
        <w:t>the Council’s pre-application charges for its Development Team Service and at this stage the service for this Development is expected to cost a total of £</w:t>
      </w:r>
      <w:r w:rsidR="004F744F">
        <w:t>[</w:t>
      </w:r>
      <w:r w:rsidRPr="00611DC1">
        <w:t>XX,XXX</w:t>
      </w:r>
      <w:r w:rsidR="004F744F">
        <w:t>]</w:t>
      </w:r>
      <w:r w:rsidRPr="00611DC1">
        <w:t xml:space="preserve"> + VAT; and </w:t>
      </w:r>
    </w:p>
    <w:p w14:paraId="0D9F5F79" w14:textId="77777777" w:rsidR="00D95847" w:rsidRPr="00611DC1" w:rsidRDefault="00D95847" w:rsidP="000A78E1">
      <w:pPr>
        <w:pStyle w:val="ListNumbered"/>
        <w:numPr>
          <w:ilvl w:val="0"/>
          <w:numId w:val="6"/>
        </w:numPr>
      </w:pPr>
      <w:r w:rsidRPr="00611DC1">
        <w:lastRenderedPageBreak/>
        <w:t xml:space="preserve">a contribution towards the cost of [a][two][x] Planning Officer[s] who will deal with the pre-application process and the Planning Application to assist the Council in providing the level of service required to meet its obligations under this PPA. </w:t>
      </w:r>
    </w:p>
    <w:p w14:paraId="361E5CB4" w14:textId="77777777" w:rsidR="00D95847" w:rsidRPr="00611DC1" w:rsidRDefault="00D95847" w:rsidP="00682E57">
      <w:pPr>
        <w:pStyle w:val="BodyText"/>
      </w:pPr>
      <w:r w:rsidRPr="00611DC1">
        <w:t>Fifty percent of the fee set out in subparagraph (a) above will be paid prior to the first meeting following the Initiation Meeting and the remaining fifty percent will be paid at the mid-point identified in the Project Plan.</w:t>
      </w:r>
    </w:p>
    <w:p w14:paraId="45D744A0" w14:textId="35E77B61" w:rsidR="00D95847" w:rsidRPr="00611DC1" w:rsidRDefault="00D95847" w:rsidP="00682E57">
      <w:pPr>
        <w:pStyle w:val="BodyText"/>
      </w:pPr>
      <w:r w:rsidRPr="00611DC1">
        <w:t>In respect of subparagraph (b) above, the parties have agreed a budget of £</w:t>
      </w:r>
      <w:r w:rsidR="00F91E83">
        <w:t>[</w:t>
      </w:r>
      <w:r w:rsidRPr="00611DC1">
        <w:t>XX,XXX</w:t>
      </w:r>
      <w:r w:rsidR="00F91E83">
        <w:t>]</w:t>
      </w:r>
      <w:r w:rsidRPr="00611DC1">
        <w:t xml:space="preserve"> + VAT which will be available to draw from for the first 3 months [commencing XX </w:t>
      </w:r>
      <w:proofErr w:type="spellStart"/>
      <w:r w:rsidRPr="00611DC1">
        <w:t>Xxxx</w:t>
      </w:r>
      <w:proofErr w:type="spellEnd"/>
      <w:r w:rsidRPr="00611DC1">
        <w:t xml:space="preserve"> 20XX] [following the signing of this PPA by both parties]. Following the end of the 3-month period further budgets will be agreed for subsequent periods unless section 4 of the PPA is evoked or the PPA’s term expires. </w:t>
      </w:r>
    </w:p>
    <w:p w14:paraId="6E7082CB" w14:textId="77777777" w:rsidR="00D95847" w:rsidRPr="00611DC1" w:rsidRDefault="00D95847" w:rsidP="00682E57">
      <w:pPr>
        <w:pStyle w:val="BodyText"/>
      </w:pPr>
      <w:r w:rsidRPr="00611DC1">
        <w:t xml:space="preserve">The Council will be entitled to draw down money from the agreed budget to cover the costs referred in subparagraph (b) above following receipt by the Developer of a valid VAT invoice properly addressed to the Developer for the amount claimed. </w:t>
      </w:r>
    </w:p>
    <w:p w14:paraId="6D568953" w14:textId="77777777" w:rsidR="00D95847" w:rsidRPr="00611DC1" w:rsidRDefault="00D95847" w:rsidP="00682E57">
      <w:pPr>
        <w:pStyle w:val="BodyText"/>
      </w:pPr>
      <w:r w:rsidRPr="00611DC1">
        <w:t xml:space="preserve">The Council will only draw down money from the budget to cover the costs of filling the post of the dedicated officer or to backfill the post of the dedicated officer, up to the total budget. If in the unexpected event that additional fees are required within any 3-month budget period, these will need to be agreed in writing with the Developer. </w:t>
      </w:r>
    </w:p>
    <w:p w14:paraId="2BDF1E6E" w14:textId="6A873941" w:rsidR="00D95847" w:rsidRPr="00611DC1" w:rsidRDefault="00D95847" w:rsidP="00682E57">
      <w:pPr>
        <w:pStyle w:val="BodyText"/>
      </w:pPr>
      <w:r w:rsidRPr="00611DC1">
        <w:t xml:space="preserve">The Developer shall have 5 working days following receipt of the valid VAT invoice to query any matter identified. Any sums not subject to a query shall be paid by the Developer at the end of the 5 working day period. If the Developer does not respond within the 5 working day period, all such matters shall be deemed </w:t>
      </w:r>
      <w:r w:rsidR="00D652B7" w:rsidRPr="00611DC1">
        <w:t>approved,</w:t>
      </w:r>
      <w:r w:rsidRPr="00611DC1">
        <w:t xml:space="preserve"> and the Developer shall pay the full amount claimed at the end of such period. </w:t>
      </w:r>
    </w:p>
    <w:p w14:paraId="299F1D61" w14:textId="77777777" w:rsidR="00D95847" w:rsidRPr="00611DC1" w:rsidRDefault="00D95847" w:rsidP="00D95847">
      <w:pPr>
        <w:pStyle w:val="Heading2"/>
      </w:pPr>
      <w:bookmarkStart w:id="42" w:name="_Toc26107750"/>
      <w:bookmarkStart w:id="43" w:name="_Toc26110636"/>
      <w:bookmarkStart w:id="44" w:name="_Toc31491223"/>
      <w:bookmarkStart w:id="45" w:name="_Toc226906716"/>
      <w:bookmarkStart w:id="46" w:name="_Toc232603306"/>
      <w:r w:rsidRPr="00611DC1">
        <w:t>External consultants</w:t>
      </w:r>
      <w:bookmarkEnd w:id="42"/>
      <w:bookmarkEnd w:id="43"/>
      <w:bookmarkEnd w:id="44"/>
      <w:bookmarkEnd w:id="45"/>
      <w:bookmarkEnd w:id="46"/>
    </w:p>
    <w:p w14:paraId="5836EDA6" w14:textId="77777777" w:rsidR="00D95847" w:rsidRPr="00611DC1" w:rsidRDefault="00D95847" w:rsidP="00682E57">
      <w:pPr>
        <w:pStyle w:val="BodyText"/>
      </w:pPr>
      <w:r w:rsidRPr="00611DC1">
        <w:t xml:space="preserve">the Council may require external consultants to provide independent advice in relation to the following matters: </w:t>
      </w:r>
    </w:p>
    <w:p w14:paraId="4E47EA39" w14:textId="77777777" w:rsidR="00D95847" w:rsidRPr="00611DC1" w:rsidRDefault="00D95847" w:rsidP="00D95847">
      <w:pPr>
        <w:pStyle w:val="ListBullet"/>
      </w:pPr>
      <w:r w:rsidRPr="00611DC1">
        <w:t xml:space="preserve">[Development viability] </w:t>
      </w:r>
    </w:p>
    <w:p w14:paraId="37F15C48" w14:textId="77777777" w:rsidR="00D95847" w:rsidRPr="00611DC1" w:rsidRDefault="00D95847" w:rsidP="00D95847">
      <w:pPr>
        <w:pStyle w:val="ListBullet"/>
      </w:pPr>
      <w:r w:rsidRPr="00611DC1">
        <w:t xml:space="preserve">[Sunlight and daylight impacts] </w:t>
      </w:r>
    </w:p>
    <w:p w14:paraId="416E0C40" w14:textId="77777777" w:rsidR="00D95847" w:rsidRPr="00611DC1" w:rsidRDefault="00D95847" w:rsidP="00D95847">
      <w:pPr>
        <w:pStyle w:val="ListBullet"/>
      </w:pPr>
      <w:r w:rsidRPr="00611DC1">
        <w:t xml:space="preserve">[Retail impacts] </w:t>
      </w:r>
    </w:p>
    <w:p w14:paraId="35D8C1C7" w14:textId="77777777" w:rsidR="00D95847" w:rsidRPr="00611DC1" w:rsidRDefault="00D95847" w:rsidP="00D95847">
      <w:pPr>
        <w:pStyle w:val="ListBullet"/>
      </w:pPr>
      <w:r w:rsidRPr="00611DC1">
        <w:t xml:space="preserve">[Transport appraisals] </w:t>
      </w:r>
    </w:p>
    <w:p w14:paraId="578EB08E" w14:textId="77777777" w:rsidR="00D95847" w:rsidRDefault="00D95847" w:rsidP="00D95847">
      <w:pPr>
        <w:pStyle w:val="ListBullet"/>
      </w:pPr>
      <w:r w:rsidRPr="00611DC1">
        <w:t xml:space="preserve">[EIA assessment] </w:t>
      </w:r>
    </w:p>
    <w:p w14:paraId="6FEA7A3E" w14:textId="226F9351" w:rsidR="00AA28BA" w:rsidRPr="00611DC1" w:rsidRDefault="00AA28BA" w:rsidP="00D95847">
      <w:pPr>
        <w:pStyle w:val="ListBullet"/>
      </w:pPr>
      <w:r>
        <w:t>[etc…]</w:t>
      </w:r>
    </w:p>
    <w:p w14:paraId="18181972" w14:textId="77777777" w:rsidR="00D95847" w:rsidRPr="00611DC1" w:rsidRDefault="00D95847" w:rsidP="00682E57">
      <w:pPr>
        <w:pStyle w:val="BodyText"/>
      </w:pPr>
      <w:r w:rsidRPr="00611DC1">
        <w:t xml:space="preserve">Should such external independent advice be required the Developer agrees to the Council commissioning the appropriate consultant(s). The Council will consult with the Developer on the commission and take into account any views expressed by the Developer. The Developer will pay the cost of the consultant(s). </w:t>
      </w:r>
    </w:p>
    <w:p w14:paraId="6F94E66E" w14:textId="77777777" w:rsidR="00D95847" w:rsidRPr="00611DC1" w:rsidRDefault="00D95847" w:rsidP="00D95847">
      <w:pPr>
        <w:pStyle w:val="Heading2"/>
      </w:pPr>
      <w:bookmarkStart w:id="47" w:name="_Toc26107751"/>
      <w:bookmarkStart w:id="48" w:name="_Toc26110637"/>
      <w:bookmarkStart w:id="49" w:name="_Toc31491224"/>
      <w:bookmarkStart w:id="50" w:name="_Toc226906717"/>
      <w:bookmarkStart w:id="51" w:name="_Toc232603307"/>
      <w:r w:rsidRPr="00611DC1">
        <w:t>Legal Fees</w:t>
      </w:r>
      <w:bookmarkEnd w:id="47"/>
      <w:bookmarkEnd w:id="48"/>
      <w:bookmarkEnd w:id="49"/>
      <w:bookmarkEnd w:id="50"/>
      <w:bookmarkEnd w:id="51"/>
    </w:p>
    <w:p w14:paraId="3E58F6C2" w14:textId="77777777" w:rsidR="00D95847" w:rsidRPr="00611DC1" w:rsidRDefault="00D95847" w:rsidP="00682E57">
      <w:pPr>
        <w:pStyle w:val="BodyText"/>
      </w:pPr>
      <w:r w:rsidRPr="00611DC1">
        <w:t xml:space="preserve">The Developer agrees in principle to pay the reasonable and proper legal costs incurred by the Council for work associated with the drafting and engrossments of any legal agreement(s) necessary for the determination of the Planning Application. </w:t>
      </w:r>
    </w:p>
    <w:p w14:paraId="75FF406C" w14:textId="77777777" w:rsidR="00D95847" w:rsidRPr="00611DC1" w:rsidRDefault="00D95847" w:rsidP="00D95847">
      <w:pPr>
        <w:pStyle w:val="Heading2"/>
      </w:pPr>
      <w:bookmarkStart w:id="52" w:name="_Toc26107752"/>
      <w:bookmarkStart w:id="53" w:name="_Toc26110638"/>
      <w:bookmarkStart w:id="54" w:name="_Toc31491225"/>
      <w:bookmarkStart w:id="55" w:name="_Toc226906718"/>
      <w:bookmarkStart w:id="56" w:name="_Toc232603308"/>
      <w:r w:rsidRPr="00611DC1">
        <w:lastRenderedPageBreak/>
        <w:t>S106 monitoring fees</w:t>
      </w:r>
      <w:bookmarkEnd w:id="52"/>
      <w:bookmarkEnd w:id="53"/>
      <w:bookmarkEnd w:id="54"/>
      <w:bookmarkEnd w:id="55"/>
      <w:bookmarkEnd w:id="56"/>
    </w:p>
    <w:p w14:paraId="5C57682B" w14:textId="77777777" w:rsidR="00D95847" w:rsidRPr="00611DC1" w:rsidRDefault="00D95847" w:rsidP="00682E57">
      <w:pPr>
        <w:pStyle w:val="BodyText"/>
      </w:pPr>
      <w:r w:rsidRPr="00611DC1">
        <w:t>The Developer agrees in principle to pay the cost of monitoring the legal agreement(s) necessary for the determination of the Planning Application. These costs will be calculated on the basis […].</w:t>
      </w:r>
    </w:p>
    <w:p w14:paraId="20441A0E" w14:textId="77777777" w:rsidR="00D95847" w:rsidRPr="00611DC1" w:rsidRDefault="00D95847" w:rsidP="00D95847">
      <w:pPr>
        <w:pStyle w:val="Heading1"/>
      </w:pPr>
      <w:bookmarkStart w:id="57" w:name="_Toc26107753"/>
      <w:bookmarkStart w:id="58" w:name="_Toc26110639"/>
      <w:bookmarkStart w:id="59" w:name="_Toc31491226"/>
      <w:bookmarkStart w:id="60" w:name="_Toc226906719"/>
      <w:bookmarkStart w:id="61" w:name="_Toc232603309"/>
      <w:r w:rsidRPr="00611DC1">
        <w:t>Confidentiality</w:t>
      </w:r>
      <w:bookmarkEnd w:id="57"/>
      <w:bookmarkEnd w:id="58"/>
      <w:bookmarkEnd w:id="59"/>
      <w:bookmarkEnd w:id="60"/>
      <w:bookmarkEnd w:id="61"/>
      <w:r w:rsidRPr="00611DC1">
        <w:t xml:space="preserve"> </w:t>
      </w:r>
    </w:p>
    <w:p w14:paraId="2601DCFF" w14:textId="77777777" w:rsidR="00B061DB" w:rsidRDefault="00B061DB" w:rsidP="00B061DB">
      <w:pPr>
        <w:pStyle w:val="BodyText"/>
      </w:pPr>
      <w:bookmarkStart w:id="62" w:name="_Toc26107754"/>
      <w:bookmarkStart w:id="63" w:name="_Toc26110640"/>
      <w:bookmarkStart w:id="64" w:name="_Toc31491227"/>
      <w:bookmarkStart w:id="65" w:name="_Toc226906720"/>
      <w:r>
        <w:t>A</w:t>
      </w:r>
      <w:r w:rsidRPr="00800B70">
        <w:t>pplicant</w:t>
      </w:r>
      <w:r>
        <w:t>’s sometimes</w:t>
      </w:r>
      <w:r w:rsidRPr="00800B70">
        <w:t xml:space="preserve"> </w:t>
      </w:r>
      <w:r>
        <w:t>request that at this stage their</w:t>
      </w:r>
      <w:r w:rsidRPr="00800B70">
        <w:t xml:space="preserve"> pre-application request is treated as confidential.</w:t>
      </w:r>
    </w:p>
    <w:p w14:paraId="3087FB94" w14:textId="77777777" w:rsidR="00B061DB" w:rsidRDefault="00B061DB" w:rsidP="00B061DB">
      <w:pPr>
        <w:pStyle w:val="BodyText"/>
      </w:pPr>
      <w:r>
        <w:t>The Council is governed by the Freedom of Information Act 2000 and the Environmental Information Regulations 2004 in how it handles the information that it holds, and this includes pre-application information.</w:t>
      </w:r>
    </w:p>
    <w:p w14:paraId="6BCB278B" w14:textId="77777777" w:rsidR="00B061DB" w:rsidRDefault="00B061DB" w:rsidP="00B061DB">
      <w:pPr>
        <w:pStyle w:val="BodyText"/>
      </w:pPr>
      <w:r>
        <w:t xml:space="preserve">Under this legislation, there is a presumption that Councils should disclose information (including pre-application information) to the public, unless its disclosure would adversely affect the interests of the person who provided the information (Regulation 12(5) Environmental Information Regulations). Therefore, as a matter of law, the Council retains an absolute discretion on the disclosure of any information it holds. </w:t>
      </w:r>
    </w:p>
    <w:p w14:paraId="6BB8E3F9" w14:textId="77777777" w:rsidR="00B061DB" w:rsidRDefault="00B061DB" w:rsidP="00B061DB">
      <w:pPr>
        <w:pStyle w:val="BodyText"/>
      </w:pPr>
      <w:r>
        <w:t>If the Developer wishes the Council to treat any pre-application material as confidential, then the Developer will need to identify the specific information that this applies to, set out the reasons why and for how long it needs to remain confidential. This statement should refer to the provisions in the Regulations, particularly Regulation 12(5). The Council will consider this information when it makes any disclosure decision.</w:t>
      </w:r>
    </w:p>
    <w:p w14:paraId="62A74BD1" w14:textId="77777777" w:rsidR="00B061DB" w:rsidRDefault="00B061DB" w:rsidP="00B061DB">
      <w:pPr>
        <w:pStyle w:val="BodyText"/>
      </w:pPr>
      <w:r>
        <w:t>Generally, the Council will treat as confidential the pre-application information it receives from the developer up to the point that the scheme is reported to the Council’s Planning Committee or otherwise made public by the Developer (</w:t>
      </w:r>
      <w:proofErr w:type="spellStart"/>
      <w:r>
        <w:t>eg</w:t>
      </w:r>
      <w:proofErr w:type="spellEnd"/>
      <w:r>
        <w:t xml:space="preserve"> community engagement takes place or a planning application is made). </w:t>
      </w:r>
    </w:p>
    <w:p w14:paraId="471470D5" w14:textId="77777777" w:rsidR="00B061DB" w:rsidRDefault="00B061DB" w:rsidP="00B061DB">
      <w:pPr>
        <w:pStyle w:val="BodyText"/>
      </w:pPr>
      <w:r>
        <w:t xml:space="preserve">Thereafter, if the Council receives a request to disclose pre-application information, it is under a duty to consider why the specific information cannot be disclosed at that time. If the developer has indicated that they wish us to treat any material as confidential, the Council will contact the Developer to see if the circumstances have changed, whether you still wish the material to be treated as confidential and the reasons for this, before we decide about disclosure. The law requires the Council to retain absolute discretion on the disclosure of any information it holds. </w:t>
      </w:r>
    </w:p>
    <w:p w14:paraId="183295E9" w14:textId="77777777" w:rsidR="00B061DB" w:rsidRDefault="00B061DB" w:rsidP="00B061DB">
      <w:pPr>
        <w:pStyle w:val="BodyText"/>
      </w:pPr>
      <w:r>
        <w:t>With respect to viability assessments, the NPPF requires, “</w:t>
      </w:r>
      <w:r w:rsidRPr="00850D64">
        <w:t>All viability assessments</w:t>
      </w:r>
      <w:r>
        <w:t xml:space="preserve"> … </w:t>
      </w:r>
      <w:r w:rsidRPr="00850D64">
        <w:t xml:space="preserve"> should reflect the recommended approach in national planning guidance, including standardised inputs, and should be made publicly available</w:t>
      </w:r>
      <w:r>
        <w:t>”.</w:t>
      </w:r>
    </w:p>
    <w:p w14:paraId="62638FF9" w14:textId="77777777" w:rsidR="00E81A51" w:rsidRDefault="00E81A51">
      <w:pPr>
        <w:spacing w:after="240"/>
        <w:rPr>
          <w:color w:val="009696"/>
          <w:sz w:val="40"/>
          <w:szCs w:val="40"/>
        </w:rPr>
      </w:pPr>
      <w:r>
        <w:br w:type="page"/>
      </w:r>
    </w:p>
    <w:p w14:paraId="768B78AF" w14:textId="59D52E71" w:rsidR="00D95847" w:rsidRPr="00611DC1" w:rsidRDefault="00D95847" w:rsidP="00D95847">
      <w:pPr>
        <w:pStyle w:val="Heading1"/>
      </w:pPr>
      <w:bookmarkStart w:id="66" w:name="_Toc232603310"/>
      <w:r w:rsidRPr="00611DC1">
        <w:lastRenderedPageBreak/>
        <w:t>Signatures</w:t>
      </w:r>
      <w:bookmarkEnd w:id="62"/>
      <w:bookmarkEnd w:id="63"/>
      <w:bookmarkEnd w:id="64"/>
      <w:bookmarkEnd w:id="65"/>
      <w:bookmarkEnd w:id="66"/>
    </w:p>
    <w:p w14:paraId="5FA1D2C0" w14:textId="77777777" w:rsidR="00D95847" w:rsidRPr="00611DC1" w:rsidRDefault="00D95847" w:rsidP="00682E57">
      <w:pPr>
        <w:pStyle w:val="BodyText"/>
      </w:pPr>
      <w:r w:rsidRPr="00611DC1">
        <w:t>The Council and the Developer hereby agree to the content of this Planning Performance Agreement.</w:t>
      </w:r>
    </w:p>
    <w:p w14:paraId="5E1EEF48" w14:textId="77777777" w:rsidR="00D95847" w:rsidRPr="00611DC1" w:rsidRDefault="00D95847" w:rsidP="00D95847">
      <w:pPr>
        <w:pStyle w:val="Heading2"/>
      </w:pPr>
      <w:bookmarkStart w:id="67" w:name="_Toc26107755"/>
      <w:bookmarkStart w:id="68" w:name="_Toc26110641"/>
      <w:bookmarkStart w:id="69" w:name="_Toc31491228"/>
      <w:bookmarkStart w:id="70" w:name="_Toc226906721"/>
      <w:bookmarkStart w:id="71" w:name="_Toc232603311"/>
      <w:r w:rsidRPr="00611DC1">
        <w:t>The Council</w:t>
      </w:r>
      <w:bookmarkEnd w:id="67"/>
      <w:bookmarkEnd w:id="68"/>
      <w:bookmarkEnd w:id="69"/>
      <w:bookmarkEnd w:id="70"/>
      <w:bookmarkEnd w:id="71"/>
    </w:p>
    <w:p w14:paraId="63CE8DB2" w14:textId="77777777" w:rsidR="00D95847" w:rsidRPr="00611DC1" w:rsidRDefault="00D95847" w:rsidP="00AC6B4A">
      <w:pPr>
        <w:pStyle w:val="BodyText"/>
        <w:numPr>
          <w:ilvl w:val="0"/>
          <w:numId w:val="0"/>
        </w:numPr>
        <w:tabs>
          <w:tab w:val="left" w:pos="1985"/>
          <w:tab w:val="right" w:pos="9356"/>
        </w:tabs>
        <w:ind w:left="720"/>
        <w:rPr>
          <w:u w:val="single"/>
        </w:rPr>
      </w:pPr>
      <w:r w:rsidRPr="00611DC1">
        <w:t>Name</w:t>
      </w:r>
      <w:r w:rsidRPr="00611DC1">
        <w:tab/>
      </w:r>
      <w:r w:rsidRPr="00611DC1">
        <w:rPr>
          <w:u w:val="single"/>
        </w:rPr>
        <w:tab/>
      </w:r>
    </w:p>
    <w:p w14:paraId="061EDF20" w14:textId="77777777" w:rsidR="00D95847" w:rsidRPr="00611DC1" w:rsidRDefault="00D95847" w:rsidP="00AC6B4A">
      <w:pPr>
        <w:pStyle w:val="BodyText"/>
        <w:numPr>
          <w:ilvl w:val="0"/>
          <w:numId w:val="0"/>
        </w:numPr>
        <w:tabs>
          <w:tab w:val="left" w:pos="1985"/>
          <w:tab w:val="right" w:pos="9356"/>
        </w:tabs>
        <w:ind w:left="720"/>
        <w:rPr>
          <w:u w:val="single"/>
        </w:rPr>
      </w:pPr>
      <w:r w:rsidRPr="00611DC1">
        <w:t>Position</w:t>
      </w:r>
      <w:r w:rsidRPr="00611DC1">
        <w:tab/>
      </w:r>
      <w:r w:rsidRPr="00611DC1">
        <w:rPr>
          <w:u w:val="single"/>
        </w:rPr>
        <w:tab/>
      </w:r>
    </w:p>
    <w:p w14:paraId="696292F5" w14:textId="77777777" w:rsidR="00D95847" w:rsidRPr="00611DC1" w:rsidRDefault="00D95847" w:rsidP="00AC6B4A">
      <w:pPr>
        <w:pStyle w:val="BodyText"/>
        <w:numPr>
          <w:ilvl w:val="0"/>
          <w:numId w:val="0"/>
        </w:numPr>
        <w:tabs>
          <w:tab w:val="left" w:pos="1985"/>
          <w:tab w:val="right" w:pos="9356"/>
        </w:tabs>
        <w:ind w:left="720"/>
        <w:rPr>
          <w:u w:val="single"/>
        </w:rPr>
      </w:pPr>
      <w:r w:rsidRPr="00611DC1">
        <w:t>Signature</w:t>
      </w:r>
      <w:r w:rsidRPr="00611DC1">
        <w:tab/>
      </w:r>
      <w:r w:rsidRPr="00611DC1">
        <w:rPr>
          <w:u w:val="single"/>
        </w:rPr>
        <w:tab/>
      </w:r>
    </w:p>
    <w:p w14:paraId="05ACB406" w14:textId="77777777" w:rsidR="00D95847" w:rsidRPr="00611DC1" w:rsidRDefault="00D95847" w:rsidP="00AC6B4A">
      <w:pPr>
        <w:pStyle w:val="BodyText"/>
        <w:numPr>
          <w:ilvl w:val="0"/>
          <w:numId w:val="0"/>
        </w:numPr>
        <w:tabs>
          <w:tab w:val="left" w:pos="1985"/>
          <w:tab w:val="right" w:pos="9356"/>
        </w:tabs>
        <w:ind w:left="720"/>
        <w:rPr>
          <w:u w:val="single"/>
        </w:rPr>
      </w:pPr>
      <w:r w:rsidRPr="00611DC1">
        <w:t>Date</w:t>
      </w:r>
      <w:r w:rsidRPr="00611DC1">
        <w:tab/>
      </w:r>
      <w:r w:rsidRPr="00611DC1">
        <w:rPr>
          <w:u w:val="single"/>
        </w:rPr>
        <w:tab/>
      </w:r>
    </w:p>
    <w:p w14:paraId="4D82F6B0" w14:textId="77777777" w:rsidR="00D95847" w:rsidRPr="00611DC1" w:rsidRDefault="00D95847" w:rsidP="00D95847">
      <w:pPr>
        <w:pStyle w:val="Heading2"/>
      </w:pPr>
      <w:bookmarkStart w:id="72" w:name="_Toc26107756"/>
      <w:bookmarkStart w:id="73" w:name="_Toc26110642"/>
      <w:bookmarkStart w:id="74" w:name="_Toc31491229"/>
      <w:bookmarkStart w:id="75" w:name="_Toc226906722"/>
      <w:bookmarkStart w:id="76" w:name="_Toc232603312"/>
      <w:r w:rsidRPr="00611DC1">
        <w:t>The Developer</w:t>
      </w:r>
      <w:bookmarkEnd w:id="72"/>
      <w:bookmarkEnd w:id="73"/>
      <w:bookmarkEnd w:id="74"/>
      <w:bookmarkEnd w:id="75"/>
      <w:bookmarkEnd w:id="76"/>
    </w:p>
    <w:p w14:paraId="343E93BB" w14:textId="77777777" w:rsidR="00D95847" w:rsidRPr="00AC6B4A" w:rsidRDefault="00D95847" w:rsidP="00AC6B4A">
      <w:pPr>
        <w:pStyle w:val="BodyText"/>
        <w:numPr>
          <w:ilvl w:val="0"/>
          <w:numId w:val="0"/>
        </w:numPr>
        <w:tabs>
          <w:tab w:val="left" w:pos="1985"/>
          <w:tab w:val="right" w:pos="9356"/>
        </w:tabs>
        <w:ind w:left="720"/>
      </w:pPr>
      <w:r w:rsidRPr="00611DC1">
        <w:t>Name</w:t>
      </w:r>
      <w:r w:rsidRPr="00611DC1">
        <w:tab/>
      </w:r>
      <w:r w:rsidRPr="00AC6B4A">
        <w:rPr>
          <w:u w:val="single"/>
        </w:rPr>
        <w:tab/>
      </w:r>
    </w:p>
    <w:p w14:paraId="5FB645F2" w14:textId="77777777" w:rsidR="00D95847" w:rsidRPr="00AC6B4A" w:rsidRDefault="00D95847" w:rsidP="00AC6B4A">
      <w:pPr>
        <w:pStyle w:val="BodyText"/>
        <w:numPr>
          <w:ilvl w:val="0"/>
          <w:numId w:val="0"/>
        </w:numPr>
        <w:tabs>
          <w:tab w:val="left" w:pos="1985"/>
          <w:tab w:val="right" w:pos="9356"/>
        </w:tabs>
        <w:ind w:left="720"/>
      </w:pPr>
      <w:r w:rsidRPr="00611DC1">
        <w:t>Position</w:t>
      </w:r>
      <w:r w:rsidRPr="00611DC1">
        <w:tab/>
      </w:r>
      <w:r w:rsidRPr="00AC6B4A">
        <w:rPr>
          <w:u w:val="single"/>
        </w:rPr>
        <w:tab/>
      </w:r>
    </w:p>
    <w:p w14:paraId="6EA64D06" w14:textId="77777777" w:rsidR="00D95847" w:rsidRPr="00AC6B4A" w:rsidRDefault="00D95847" w:rsidP="00AC6B4A">
      <w:pPr>
        <w:pStyle w:val="BodyText"/>
        <w:numPr>
          <w:ilvl w:val="0"/>
          <w:numId w:val="0"/>
        </w:numPr>
        <w:tabs>
          <w:tab w:val="left" w:pos="1985"/>
          <w:tab w:val="right" w:pos="9356"/>
        </w:tabs>
        <w:ind w:left="720"/>
      </w:pPr>
      <w:r w:rsidRPr="00611DC1">
        <w:t>Signature</w:t>
      </w:r>
      <w:r w:rsidRPr="00611DC1">
        <w:tab/>
      </w:r>
      <w:r w:rsidRPr="00AC6B4A">
        <w:rPr>
          <w:u w:val="single"/>
        </w:rPr>
        <w:tab/>
      </w:r>
    </w:p>
    <w:p w14:paraId="7CE5BF89" w14:textId="77777777" w:rsidR="00D95847" w:rsidRPr="00AC6B4A" w:rsidRDefault="00D95847" w:rsidP="00AC6B4A">
      <w:pPr>
        <w:pStyle w:val="BodyText"/>
        <w:numPr>
          <w:ilvl w:val="0"/>
          <w:numId w:val="0"/>
        </w:numPr>
        <w:tabs>
          <w:tab w:val="left" w:pos="1985"/>
          <w:tab w:val="right" w:pos="9356"/>
        </w:tabs>
        <w:ind w:left="720"/>
      </w:pPr>
      <w:r w:rsidRPr="00611DC1">
        <w:t>Date</w:t>
      </w:r>
      <w:r w:rsidRPr="00611DC1">
        <w:tab/>
      </w:r>
      <w:r w:rsidRPr="00AC6B4A">
        <w:rPr>
          <w:u w:val="single"/>
        </w:rPr>
        <w:tab/>
      </w:r>
    </w:p>
    <w:p w14:paraId="31F7F11D" w14:textId="77777777" w:rsidR="00C85F37" w:rsidRDefault="00C85F37">
      <w:pPr>
        <w:spacing w:after="240"/>
        <w:rPr>
          <w:color w:val="009696"/>
          <w:sz w:val="40"/>
          <w:szCs w:val="40"/>
        </w:rPr>
      </w:pPr>
      <w:bookmarkStart w:id="77" w:name="_Toc26107757"/>
      <w:bookmarkStart w:id="78" w:name="_Toc26110643"/>
      <w:bookmarkStart w:id="79" w:name="_Toc31491230"/>
      <w:bookmarkStart w:id="80" w:name="_Toc226906723"/>
      <w:r>
        <w:br w:type="page"/>
      </w:r>
    </w:p>
    <w:p w14:paraId="1D7A3F1B" w14:textId="018DA4CD" w:rsidR="00D95847" w:rsidRPr="00611DC1" w:rsidRDefault="00D95847" w:rsidP="00D95847">
      <w:pPr>
        <w:pStyle w:val="Heading1"/>
        <w:numPr>
          <w:ilvl w:val="0"/>
          <w:numId w:val="0"/>
        </w:numPr>
      </w:pPr>
      <w:bookmarkStart w:id="81" w:name="_Toc232603313"/>
      <w:r w:rsidRPr="00611DC1">
        <w:lastRenderedPageBreak/>
        <w:t>SCHEDULE 1</w:t>
      </w:r>
      <w:bookmarkEnd w:id="77"/>
      <w:bookmarkEnd w:id="78"/>
      <w:bookmarkEnd w:id="79"/>
      <w:bookmarkEnd w:id="80"/>
      <w:bookmarkEnd w:id="81"/>
      <w:r w:rsidRPr="00611DC1">
        <w:t xml:space="preserve"> </w:t>
      </w:r>
    </w:p>
    <w:p w14:paraId="75D3B5FD" w14:textId="77777777" w:rsidR="00D95847" w:rsidRPr="00611DC1" w:rsidRDefault="00D95847" w:rsidP="00D95847">
      <w:pPr>
        <w:pStyle w:val="Heading2"/>
        <w:ind w:left="0"/>
      </w:pPr>
      <w:bookmarkStart w:id="82" w:name="_Toc26107758"/>
      <w:bookmarkStart w:id="83" w:name="_Toc26110644"/>
      <w:bookmarkStart w:id="84" w:name="_Toc31491231"/>
      <w:bookmarkStart w:id="85" w:name="_Toc226906724"/>
      <w:bookmarkStart w:id="86" w:name="_Toc232603314"/>
      <w:r w:rsidRPr="00611DC1">
        <w:t>The Development</w:t>
      </w:r>
      <w:bookmarkEnd w:id="82"/>
      <w:bookmarkEnd w:id="83"/>
      <w:bookmarkEnd w:id="84"/>
      <w:bookmarkEnd w:id="85"/>
      <w:bookmarkEnd w:id="86"/>
      <w:r w:rsidRPr="00611DC1">
        <w:t xml:space="preserve"> </w:t>
      </w:r>
    </w:p>
    <w:p w14:paraId="55F99A2D" w14:textId="77777777" w:rsidR="00D95847" w:rsidRPr="00611DC1" w:rsidRDefault="00D95847" w:rsidP="00682E57">
      <w:pPr>
        <w:pStyle w:val="BodyText"/>
        <w:numPr>
          <w:ilvl w:val="0"/>
          <w:numId w:val="0"/>
        </w:numPr>
      </w:pPr>
      <w:r w:rsidRPr="00611DC1">
        <w:t xml:space="preserve">Address of the application site: </w:t>
      </w:r>
    </w:p>
    <w:p w14:paraId="639CA682" w14:textId="77777777" w:rsidR="00D95847" w:rsidRPr="00611DC1" w:rsidRDefault="00D95847" w:rsidP="00D95847">
      <w:pPr>
        <w:pStyle w:val="ListBullet"/>
        <w:tabs>
          <w:tab w:val="clear" w:pos="1080"/>
          <w:tab w:val="num" w:pos="360"/>
        </w:tabs>
        <w:ind w:left="357"/>
      </w:pPr>
      <w:r w:rsidRPr="00611DC1">
        <w:t xml:space="preserve">XXX </w:t>
      </w:r>
    </w:p>
    <w:p w14:paraId="0BACB43A" w14:textId="77777777" w:rsidR="00D95847" w:rsidRPr="00611DC1" w:rsidRDefault="00D95847" w:rsidP="00682E57">
      <w:pPr>
        <w:pStyle w:val="BodyText"/>
        <w:numPr>
          <w:ilvl w:val="0"/>
          <w:numId w:val="0"/>
        </w:numPr>
      </w:pPr>
      <w:r w:rsidRPr="00611DC1">
        <w:t xml:space="preserve">Description of the Development: </w:t>
      </w:r>
    </w:p>
    <w:p w14:paraId="7B8AD73B" w14:textId="77777777" w:rsidR="00D95847" w:rsidRPr="00611DC1" w:rsidRDefault="00D95847" w:rsidP="00D95847">
      <w:pPr>
        <w:pStyle w:val="ListBullet"/>
        <w:tabs>
          <w:tab w:val="clear" w:pos="1080"/>
          <w:tab w:val="num" w:pos="360"/>
        </w:tabs>
        <w:ind w:left="357"/>
      </w:pPr>
      <w:r w:rsidRPr="00611DC1">
        <w:t xml:space="preserve">XXX </w:t>
      </w:r>
    </w:p>
    <w:p w14:paraId="3C956427" w14:textId="77777777" w:rsidR="001916B8" w:rsidRPr="009C462A" w:rsidRDefault="001916B8" w:rsidP="001916B8">
      <w:pPr>
        <w:pStyle w:val="Heading1"/>
        <w:numPr>
          <w:ilvl w:val="0"/>
          <w:numId w:val="0"/>
        </w:numPr>
      </w:pPr>
      <w:bookmarkStart w:id="87" w:name="_Toc26107759"/>
      <w:bookmarkStart w:id="88" w:name="_Toc26110645"/>
      <w:bookmarkStart w:id="89" w:name="_Toc31491232"/>
      <w:bookmarkStart w:id="90" w:name="_Toc226906725"/>
      <w:bookmarkStart w:id="91" w:name="_Toc232603315"/>
      <w:r w:rsidRPr="009C462A">
        <w:t xml:space="preserve">SCHEDULE </w:t>
      </w:r>
      <w:r>
        <w:t>2</w:t>
      </w:r>
      <w:bookmarkEnd w:id="87"/>
      <w:bookmarkEnd w:id="88"/>
      <w:bookmarkEnd w:id="89"/>
      <w:bookmarkEnd w:id="90"/>
      <w:bookmarkEnd w:id="91"/>
      <w:r>
        <w:t xml:space="preserve"> </w:t>
      </w:r>
    </w:p>
    <w:p w14:paraId="4A3012F8" w14:textId="77777777" w:rsidR="001916B8" w:rsidRPr="009C462A" w:rsidRDefault="001916B8" w:rsidP="001916B8">
      <w:pPr>
        <w:pStyle w:val="Heading2"/>
        <w:ind w:left="0"/>
      </w:pPr>
      <w:bookmarkStart w:id="92" w:name="_Toc26107760"/>
      <w:bookmarkStart w:id="93" w:name="_Toc26110646"/>
      <w:bookmarkStart w:id="94" w:name="_Toc31491233"/>
      <w:bookmarkStart w:id="95" w:name="_Toc226906726"/>
      <w:bookmarkStart w:id="96" w:name="_Toc232603316"/>
      <w:r w:rsidRPr="009C462A">
        <w:t xml:space="preserve">Performance Deadlines </w:t>
      </w:r>
      <w:r>
        <w:t>(planning application)</w:t>
      </w:r>
      <w:bookmarkEnd w:id="92"/>
      <w:bookmarkEnd w:id="93"/>
      <w:bookmarkEnd w:id="94"/>
      <w:bookmarkEnd w:id="95"/>
      <w:bookmarkEnd w:id="96"/>
    </w:p>
    <w:p w14:paraId="2EAC06AC" w14:textId="426DDA42" w:rsidR="001916B8" w:rsidRPr="001916B8" w:rsidRDefault="001916B8" w:rsidP="00682E57">
      <w:pPr>
        <w:pStyle w:val="BodyText"/>
        <w:numPr>
          <w:ilvl w:val="0"/>
          <w:numId w:val="0"/>
        </w:numPr>
      </w:pPr>
      <w:r w:rsidRPr="001916B8">
        <w:t xml:space="preserve">The parties to this PPA shall use their reasonable endeavours to achieve the following performance deadlines. </w:t>
      </w:r>
    </w:p>
    <w:tbl>
      <w:tblPr>
        <w:tblStyle w:val="TableGrid"/>
        <w:tblW w:w="0" w:type="auto"/>
        <w:tblBorders>
          <w:top w:val="single" w:sz="4" w:space="0" w:color="009696"/>
          <w:left w:val="single" w:sz="4" w:space="0" w:color="009696"/>
          <w:bottom w:val="single" w:sz="4" w:space="0" w:color="009696"/>
          <w:right w:val="single" w:sz="4" w:space="0" w:color="009696"/>
          <w:insideH w:val="single" w:sz="4" w:space="0" w:color="009696"/>
          <w:insideV w:val="single" w:sz="4" w:space="0" w:color="009696"/>
        </w:tblBorders>
        <w:tblLook w:val="04A0" w:firstRow="1" w:lastRow="0" w:firstColumn="1" w:lastColumn="0" w:noHBand="0" w:noVBand="1"/>
      </w:tblPr>
      <w:tblGrid>
        <w:gridCol w:w="4621"/>
        <w:gridCol w:w="4621"/>
      </w:tblGrid>
      <w:tr w:rsidR="001916B8" w:rsidRPr="001916B8" w14:paraId="3096D7BA" w14:textId="77777777" w:rsidTr="00AC6B4A">
        <w:tc>
          <w:tcPr>
            <w:tcW w:w="4621" w:type="dxa"/>
          </w:tcPr>
          <w:p w14:paraId="1888C5A2" w14:textId="77777777" w:rsidR="001916B8" w:rsidRPr="001916B8" w:rsidRDefault="001916B8" w:rsidP="00682E57">
            <w:pPr>
              <w:pStyle w:val="BodyText"/>
              <w:numPr>
                <w:ilvl w:val="0"/>
                <w:numId w:val="0"/>
              </w:numPr>
            </w:pPr>
            <w:r w:rsidRPr="001916B8">
              <w:t>The Commencement Date: the date the Planning Application is received by the Council</w:t>
            </w:r>
          </w:p>
        </w:tc>
        <w:tc>
          <w:tcPr>
            <w:tcW w:w="4621" w:type="dxa"/>
          </w:tcPr>
          <w:p w14:paraId="5212A6D3" w14:textId="13003281" w:rsidR="001916B8" w:rsidRPr="001916B8" w:rsidRDefault="00B1026E" w:rsidP="00682E57">
            <w:pPr>
              <w:pStyle w:val="BodyText"/>
              <w:numPr>
                <w:ilvl w:val="0"/>
                <w:numId w:val="0"/>
              </w:numPr>
            </w:pPr>
            <w:r>
              <w:t>[</w:t>
            </w:r>
            <w:r w:rsidR="001916B8" w:rsidRPr="001916B8">
              <w:t>XX day of XXX 20XX</w:t>
            </w:r>
            <w:r>
              <w:t>]</w:t>
            </w:r>
          </w:p>
        </w:tc>
      </w:tr>
      <w:tr w:rsidR="001916B8" w:rsidRPr="009E40B7" w14:paraId="0C9B9AB3" w14:textId="77777777" w:rsidTr="00AC6B4A">
        <w:tc>
          <w:tcPr>
            <w:tcW w:w="4621" w:type="dxa"/>
          </w:tcPr>
          <w:p w14:paraId="25DEC3B4" w14:textId="77777777" w:rsidR="001916B8" w:rsidRPr="001916B8" w:rsidRDefault="001916B8" w:rsidP="00682E57">
            <w:pPr>
              <w:pStyle w:val="BodyText"/>
              <w:numPr>
                <w:ilvl w:val="0"/>
                <w:numId w:val="0"/>
              </w:numPr>
            </w:pPr>
            <w:r w:rsidRPr="001916B8">
              <w:t>The Determination Date: the date the Planning Application is to be reported to committee or considered under delegated powers by the Council</w:t>
            </w:r>
          </w:p>
        </w:tc>
        <w:tc>
          <w:tcPr>
            <w:tcW w:w="4621" w:type="dxa"/>
          </w:tcPr>
          <w:p w14:paraId="6E068EA7" w14:textId="13FAAE5F" w:rsidR="001916B8" w:rsidRPr="001916B8" w:rsidRDefault="00B1026E" w:rsidP="00682E57">
            <w:pPr>
              <w:pStyle w:val="BodyText"/>
              <w:numPr>
                <w:ilvl w:val="0"/>
                <w:numId w:val="0"/>
              </w:numPr>
            </w:pPr>
            <w:r>
              <w:t>[</w:t>
            </w:r>
            <w:r w:rsidR="001916B8" w:rsidRPr="001916B8">
              <w:t>XX day of XXX 20XX</w:t>
            </w:r>
            <w:r>
              <w:t>]</w:t>
            </w:r>
          </w:p>
        </w:tc>
      </w:tr>
      <w:tr w:rsidR="001916B8" w:rsidRPr="00C85F37" w14:paraId="191091BC" w14:textId="77777777" w:rsidTr="00AC6B4A">
        <w:tc>
          <w:tcPr>
            <w:tcW w:w="9242" w:type="dxa"/>
            <w:gridSpan w:val="2"/>
          </w:tcPr>
          <w:p w14:paraId="565BC139" w14:textId="4949471A" w:rsidR="001916B8" w:rsidRPr="00C85F37" w:rsidRDefault="001916B8" w:rsidP="00682E57">
            <w:pPr>
              <w:pStyle w:val="BodyText"/>
              <w:numPr>
                <w:ilvl w:val="0"/>
                <w:numId w:val="0"/>
              </w:numPr>
              <w:rPr>
                <w:i/>
                <w:iCs/>
              </w:rPr>
            </w:pPr>
            <w:r w:rsidRPr="00C85F37">
              <w:rPr>
                <w:i/>
                <w:iCs/>
              </w:rPr>
              <w:t xml:space="preserve">[For use in London where </w:t>
            </w:r>
            <w:r w:rsidR="0023694E">
              <w:rPr>
                <w:i/>
                <w:iCs/>
              </w:rPr>
              <w:t xml:space="preserve">the </w:t>
            </w:r>
            <w:r w:rsidRPr="00C85F37">
              <w:rPr>
                <w:i/>
                <w:iCs/>
              </w:rPr>
              <w:t xml:space="preserve">application is </w:t>
            </w:r>
            <w:proofErr w:type="spellStart"/>
            <w:r w:rsidRPr="00C85F37">
              <w:rPr>
                <w:i/>
                <w:iCs/>
              </w:rPr>
              <w:t>referable</w:t>
            </w:r>
            <w:proofErr w:type="spellEnd"/>
            <w:r w:rsidRPr="00C85F37">
              <w:rPr>
                <w:i/>
                <w:iCs/>
              </w:rPr>
              <w:t xml:space="preserve"> to GLA</w:t>
            </w:r>
            <w:r w:rsidR="0023694E">
              <w:rPr>
                <w:i/>
                <w:iCs/>
              </w:rPr>
              <w:br/>
            </w:r>
            <w:r w:rsidR="001359C9">
              <w:rPr>
                <w:i/>
                <w:iCs/>
              </w:rPr>
              <w:t>S</w:t>
            </w:r>
            <w:r w:rsidR="005763E2">
              <w:rPr>
                <w:i/>
                <w:iCs/>
              </w:rPr>
              <w:t>imilar arrangements will be put in place for some Strategic Planning Authorities</w:t>
            </w:r>
            <w:r w:rsidR="00B1026E" w:rsidRPr="00C85F37">
              <w:rPr>
                <w:i/>
                <w:iCs/>
              </w:rPr>
              <w:t>]</w:t>
            </w:r>
          </w:p>
        </w:tc>
      </w:tr>
      <w:tr w:rsidR="001916B8" w:rsidRPr="009E40B7" w14:paraId="647A41DB" w14:textId="77777777" w:rsidTr="00AC6B4A">
        <w:tc>
          <w:tcPr>
            <w:tcW w:w="4621" w:type="dxa"/>
          </w:tcPr>
          <w:p w14:paraId="488A8C95" w14:textId="77777777" w:rsidR="001916B8" w:rsidRPr="009E40B7" w:rsidRDefault="001916B8" w:rsidP="00682E57">
            <w:pPr>
              <w:pStyle w:val="BodyText"/>
              <w:numPr>
                <w:ilvl w:val="0"/>
                <w:numId w:val="0"/>
              </w:numPr>
            </w:pPr>
            <w:r w:rsidRPr="009E40B7">
              <w:t xml:space="preserve">The Referral Date: where the London Mayor has indicated he wishes to be consulted before </w:t>
            </w:r>
            <w:r>
              <w:t>the Council</w:t>
            </w:r>
            <w:r w:rsidRPr="009E40B7">
              <w:t xml:space="preserve"> determine the Planning Application, the date the Planning Application is referred to the London Mayor by </w:t>
            </w:r>
            <w:r>
              <w:t>the Council</w:t>
            </w:r>
          </w:p>
        </w:tc>
        <w:tc>
          <w:tcPr>
            <w:tcW w:w="4621" w:type="dxa"/>
          </w:tcPr>
          <w:p w14:paraId="06401BE1" w14:textId="77777777" w:rsidR="001916B8" w:rsidRPr="009E40B7" w:rsidRDefault="001916B8" w:rsidP="00682E57">
            <w:pPr>
              <w:pStyle w:val="BodyText"/>
              <w:numPr>
                <w:ilvl w:val="0"/>
                <w:numId w:val="0"/>
              </w:numPr>
            </w:pPr>
            <w:r w:rsidRPr="009E40B7">
              <w:t xml:space="preserve">Not later than 5 working days after committee or delegated determination of the application by </w:t>
            </w:r>
            <w:r>
              <w:t>the Council</w:t>
            </w:r>
            <w:r w:rsidRPr="009E40B7">
              <w:t xml:space="preserve"> and the completion of the drafting of the S106 agreement</w:t>
            </w:r>
          </w:p>
        </w:tc>
      </w:tr>
      <w:tr w:rsidR="001916B8" w:rsidRPr="009E40B7" w14:paraId="29C84B5C" w14:textId="77777777" w:rsidTr="00AC6B4A">
        <w:tc>
          <w:tcPr>
            <w:tcW w:w="4621" w:type="dxa"/>
          </w:tcPr>
          <w:p w14:paraId="413D5476" w14:textId="77777777" w:rsidR="001916B8" w:rsidRPr="009E40B7" w:rsidRDefault="001916B8" w:rsidP="00682E57">
            <w:pPr>
              <w:pStyle w:val="BodyText"/>
              <w:numPr>
                <w:ilvl w:val="0"/>
                <w:numId w:val="0"/>
              </w:numPr>
            </w:pPr>
            <w:r w:rsidRPr="009E40B7">
              <w:t xml:space="preserve">The Decision Date: the date the planning decision is issued by </w:t>
            </w:r>
            <w:r>
              <w:t>the Council</w:t>
            </w:r>
          </w:p>
        </w:tc>
        <w:tc>
          <w:tcPr>
            <w:tcW w:w="4621" w:type="dxa"/>
          </w:tcPr>
          <w:p w14:paraId="68DE0DE7" w14:textId="4FAD9292" w:rsidR="001916B8" w:rsidRPr="009E40B7" w:rsidRDefault="001916B8" w:rsidP="00682E57">
            <w:pPr>
              <w:pStyle w:val="BodyText"/>
              <w:numPr>
                <w:ilvl w:val="0"/>
                <w:numId w:val="0"/>
              </w:numPr>
            </w:pPr>
            <w:r w:rsidRPr="009E40B7">
              <w:t xml:space="preserve">Not later than 20 working days </w:t>
            </w:r>
            <w:r w:rsidR="00E30120">
              <w:t>[</w:t>
            </w:r>
            <w:r w:rsidR="00E30120" w:rsidRPr="009E40B7">
              <w:t xml:space="preserve">after committee or delegated determination of the application by </w:t>
            </w:r>
            <w:r w:rsidR="00E30120">
              <w:t>the Council</w:t>
            </w:r>
            <w:r w:rsidR="00B1026E">
              <w:t>]</w:t>
            </w:r>
            <w:r w:rsidR="00E30120">
              <w:t xml:space="preserve"> </w:t>
            </w:r>
            <w:r w:rsidR="00B1026E">
              <w:t>[</w:t>
            </w:r>
            <w:r w:rsidRPr="009E40B7">
              <w:t xml:space="preserve">following receipt by </w:t>
            </w:r>
            <w:r>
              <w:t>the Council</w:t>
            </w:r>
            <w:r w:rsidRPr="009E40B7">
              <w:t xml:space="preserve"> of any direction made by the London Mayor</w:t>
            </w:r>
            <w:r w:rsidR="00E30120">
              <w:t>]</w:t>
            </w:r>
          </w:p>
        </w:tc>
      </w:tr>
    </w:tbl>
    <w:p w14:paraId="03FFC63E" w14:textId="77777777" w:rsidR="001916B8" w:rsidRPr="009E40B7" w:rsidRDefault="001916B8" w:rsidP="00682E57">
      <w:pPr>
        <w:pStyle w:val="BodyText"/>
        <w:numPr>
          <w:ilvl w:val="0"/>
          <w:numId w:val="0"/>
        </w:numPr>
      </w:pPr>
    </w:p>
    <w:p w14:paraId="0664E662" w14:textId="77777777" w:rsidR="001916B8" w:rsidRDefault="001916B8" w:rsidP="001916B8">
      <w:pPr>
        <w:pStyle w:val="Heading2"/>
        <w:ind w:left="0"/>
      </w:pPr>
      <w:bookmarkStart w:id="97" w:name="_Toc26107761"/>
      <w:bookmarkStart w:id="98" w:name="_Toc26110647"/>
      <w:bookmarkStart w:id="99" w:name="_Toc31491234"/>
      <w:bookmarkStart w:id="100" w:name="_Toc226906727"/>
      <w:bookmarkStart w:id="101" w:name="_Toc232603317"/>
      <w:r>
        <w:t>Performance Deadlines (conditions or amendments)</w:t>
      </w:r>
      <w:bookmarkEnd w:id="97"/>
      <w:bookmarkEnd w:id="98"/>
      <w:bookmarkEnd w:id="99"/>
      <w:bookmarkEnd w:id="100"/>
      <w:bookmarkEnd w:id="101"/>
    </w:p>
    <w:p w14:paraId="67E6F75F" w14:textId="77777777" w:rsidR="001916B8" w:rsidRPr="009E40B7" w:rsidRDefault="001916B8" w:rsidP="00682E57">
      <w:pPr>
        <w:pStyle w:val="BodyText"/>
        <w:numPr>
          <w:ilvl w:val="0"/>
          <w:numId w:val="0"/>
        </w:numPr>
      </w:pPr>
      <w:r w:rsidRPr="009E40B7">
        <w:t xml:space="preserve">The parties to this PPA shall use their reasonable endeavours to achieve the following performance deadlines. </w:t>
      </w:r>
    </w:p>
    <w:p w14:paraId="7B7171D7" w14:textId="321F1952" w:rsidR="001B7585" w:rsidRPr="00094DB5" w:rsidRDefault="00C85F37" w:rsidP="00094DB5">
      <w:pPr>
        <w:pStyle w:val="ListBullet"/>
        <w:tabs>
          <w:tab w:val="clear" w:pos="1080"/>
          <w:tab w:val="num" w:pos="360"/>
        </w:tabs>
        <w:ind w:left="357"/>
      </w:pPr>
      <w:r>
        <w:t>[</w:t>
      </w:r>
      <w:r w:rsidR="001916B8">
        <w:t>XXX</w:t>
      </w:r>
      <w:r>
        <w:t>]</w:t>
      </w:r>
    </w:p>
    <w:sectPr w:rsidR="001B7585" w:rsidRPr="00094DB5" w:rsidSect="005F3FA5">
      <w:headerReference w:type="default" r:id="rId11"/>
      <w:headerReference w:type="first" r:id="rId12"/>
      <w:pgSz w:w="11906" w:h="16838" w:code="9"/>
      <w:pgMar w:top="1247" w:right="1247" w:bottom="1361" w:left="1247"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ECB1FF8" w14:textId="77777777" w:rsidR="004C159E" w:rsidRDefault="004C159E" w:rsidP="00A3661A">
      <w:r>
        <w:separator/>
      </w:r>
    </w:p>
  </w:endnote>
  <w:endnote w:type="continuationSeparator" w:id="0">
    <w:p w14:paraId="1777D232" w14:textId="77777777" w:rsidR="004C159E" w:rsidRDefault="004C159E"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906512" w14:textId="77777777" w:rsidR="001E4382" w:rsidRDefault="001E4382" w:rsidP="006635C5">
    <w:pPr>
      <w:rPr>
        <w:color w:val="009696"/>
        <w:sz w:val="20"/>
      </w:rPr>
    </w:pPr>
  </w:p>
  <w:p w14:paraId="13932B6C" w14:textId="289699A0" w:rsidR="001E4382" w:rsidRDefault="001E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3CBE05" w14:textId="77777777" w:rsidR="004C159E" w:rsidRDefault="004C159E" w:rsidP="00A3661A">
      <w:r>
        <w:separator/>
      </w:r>
    </w:p>
  </w:footnote>
  <w:footnote w:type="continuationSeparator" w:id="0">
    <w:p w14:paraId="334F964F" w14:textId="77777777" w:rsidR="004C159E" w:rsidRDefault="004C159E"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8F30A6" w14:textId="63721039" w:rsidR="001E4382" w:rsidRPr="00067AE6" w:rsidRDefault="001E4382" w:rsidP="00067AE6">
    <w:pPr>
      <w:tabs>
        <w:tab w:val="right" w:pos="9356"/>
      </w:tabs>
      <w:rPr>
        <w:color w:val="009696"/>
        <w:sz w:val="20"/>
        <w:szCs w:val="24"/>
      </w:rPr>
    </w:pPr>
    <w:r>
      <w:rPr>
        <w:color w:val="009696"/>
        <w:sz w:val="20"/>
        <w:szCs w:val="24"/>
      </w:rPr>
      <w:t>GOOD PRACTICE GUIDANCE NOTE</w:t>
    </w:r>
    <w:r w:rsidR="001A5201">
      <w:rPr>
        <w:color w:val="009696"/>
        <w:sz w:val="20"/>
        <w:szCs w:val="24"/>
      </w:rPr>
      <w:t xml:space="preserve"> APPENDIX </w:t>
    </w:r>
    <w:r w:rsidR="004F39C6">
      <w:rPr>
        <w:color w:val="009696"/>
        <w:sz w:val="20"/>
        <w:szCs w:val="24"/>
      </w:rPr>
      <w:t>D</w:t>
    </w:r>
    <w:r>
      <w:rPr>
        <w:color w:val="009696"/>
        <w:sz w:val="20"/>
        <w:szCs w:val="24"/>
      </w:rPr>
      <w:t>:</w:t>
    </w:r>
    <w:r w:rsidRPr="00321B2F">
      <w:rPr>
        <w:color w:val="009696"/>
        <w:sz w:val="20"/>
        <w:szCs w:val="24"/>
      </w:rPr>
      <w:t xml:space="preserve"> </w:t>
    </w:r>
    <w:r w:rsidR="004F39C6">
      <w:rPr>
        <w:color w:val="009696"/>
        <w:sz w:val="20"/>
        <w:szCs w:val="24"/>
      </w:rPr>
      <w:t>Planning Performance A</w:t>
    </w:r>
    <w:r w:rsidR="000231A0">
      <w:rPr>
        <w:color w:val="009696"/>
        <w:sz w:val="20"/>
        <w:szCs w:val="24"/>
      </w:rPr>
      <w:t>greement</w:t>
    </w:r>
    <w:r w:rsidR="004F39C6">
      <w:rPr>
        <w:color w:val="009696"/>
        <w:sz w:val="20"/>
        <w:szCs w:val="24"/>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4CDE66" w14:textId="0EE46542" w:rsidR="00C84EED" w:rsidRPr="00C84EED" w:rsidRDefault="00C84EED" w:rsidP="00C84EED">
    <w:pPr>
      <w:tabs>
        <w:tab w:val="right" w:pos="9356"/>
      </w:tabs>
      <w:rPr>
        <w:color w:val="009696"/>
        <w:sz w:val="20"/>
        <w:szCs w:val="24"/>
      </w:rPr>
    </w:pPr>
    <w:r>
      <w:rPr>
        <w:color w:val="009696"/>
        <w:sz w:val="20"/>
        <w:szCs w:val="24"/>
      </w:rPr>
      <w:t>GOOD PRACTICE GUIDANCE NOTE APPENDIX D:</w:t>
    </w:r>
    <w:r w:rsidRPr="00321B2F">
      <w:rPr>
        <w:color w:val="009696"/>
        <w:sz w:val="20"/>
        <w:szCs w:val="24"/>
      </w:rPr>
      <w:t xml:space="preserve"> </w:t>
    </w:r>
    <w:r>
      <w:rPr>
        <w:color w:val="009696"/>
        <w:sz w:val="20"/>
        <w:szCs w:val="24"/>
      </w:rPr>
      <w:t>Planning Performance Agreement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AFB5DE" w14:textId="77777777" w:rsidR="002229CF" w:rsidRPr="00B5254D" w:rsidRDefault="002229CF" w:rsidP="002229CF">
    <w:pPr>
      <w:tabs>
        <w:tab w:val="right" w:pos="9356"/>
      </w:tabs>
      <w:rPr>
        <w:color w:val="009696"/>
        <w:sz w:val="20"/>
      </w:rPr>
    </w:pPr>
    <w:r w:rsidRPr="00B5254D">
      <w:rPr>
        <w:color w:val="009696"/>
        <w:sz w:val="20"/>
      </w:rPr>
      <w:t>Planning Performance Agreement</w:t>
    </w:r>
    <w:r w:rsidRPr="00B5254D">
      <w:rPr>
        <w:color w:val="009696"/>
        <w:sz w:val="20"/>
      </w:rPr>
      <w:tab/>
    </w:r>
    <w:r w:rsidRPr="00B5254D">
      <w:rPr>
        <w:color w:val="009696"/>
        <w:sz w:val="20"/>
      </w:rPr>
      <w:fldChar w:fldCharType="begin"/>
    </w:r>
    <w:r w:rsidRPr="00B5254D">
      <w:rPr>
        <w:color w:val="009696"/>
        <w:sz w:val="20"/>
      </w:rPr>
      <w:instrText xml:space="preserve"> PAGE   \* MERGEFORMAT </w:instrText>
    </w:r>
    <w:r w:rsidRPr="00B5254D">
      <w:rPr>
        <w:color w:val="009696"/>
        <w:sz w:val="20"/>
      </w:rPr>
      <w:fldChar w:fldCharType="separate"/>
    </w:r>
    <w:r>
      <w:rPr>
        <w:color w:val="009696"/>
        <w:sz w:val="20"/>
      </w:rPr>
      <w:t>2</w:t>
    </w:r>
    <w:r w:rsidRPr="00B5254D">
      <w:rPr>
        <w:color w:val="009696"/>
        <w:sz w:val="20"/>
      </w:rPr>
      <w:fldChar w:fldCharType="end"/>
    </w:r>
  </w:p>
  <w:p w14:paraId="00C27BA9" w14:textId="60AB462A" w:rsidR="002229CF" w:rsidRPr="002229CF" w:rsidRDefault="002229CF" w:rsidP="002229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040903" w14:textId="58822ABC" w:rsidR="001E4382" w:rsidRPr="00B5254D" w:rsidRDefault="009F24A2" w:rsidP="00C12127">
    <w:pPr>
      <w:tabs>
        <w:tab w:val="right" w:pos="9356"/>
      </w:tabs>
      <w:rPr>
        <w:color w:val="009696"/>
        <w:sz w:val="20"/>
      </w:rPr>
    </w:pPr>
    <w:r w:rsidRPr="00B5254D">
      <w:rPr>
        <w:color w:val="009696"/>
        <w:sz w:val="20"/>
      </w:rPr>
      <w:t>Planning Performance Agreement</w:t>
    </w:r>
    <w:r w:rsidR="00396B5A" w:rsidRPr="00B5254D">
      <w:rPr>
        <w:color w:val="009696"/>
        <w:sz w:val="20"/>
      </w:rPr>
      <w:tab/>
    </w:r>
    <w:r w:rsidR="00B5254D" w:rsidRPr="00B5254D">
      <w:rPr>
        <w:color w:val="009696"/>
        <w:sz w:val="20"/>
      </w:rPr>
      <w:fldChar w:fldCharType="begin"/>
    </w:r>
    <w:r w:rsidR="00B5254D" w:rsidRPr="00B5254D">
      <w:rPr>
        <w:color w:val="009696"/>
        <w:sz w:val="20"/>
      </w:rPr>
      <w:instrText xml:space="preserve"> PAGE   \* MERGEFORMAT </w:instrText>
    </w:r>
    <w:r w:rsidR="00B5254D" w:rsidRPr="00B5254D">
      <w:rPr>
        <w:color w:val="009696"/>
        <w:sz w:val="20"/>
      </w:rPr>
      <w:fldChar w:fldCharType="separate"/>
    </w:r>
    <w:r w:rsidR="00B5254D" w:rsidRPr="00B5254D">
      <w:rPr>
        <w:color w:val="009696"/>
        <w:sz w:val="20"/>
      </w:rPr>
      <w:t>2</w:t>
    </w:r>
    <w:r w:rsidR="00B5254D" w:rsidRPr="00B5254D">
      <w:rPr>
        <w:color w:val="009696"/>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4BD826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CB0EE0"/>
    <w:multiLevelType w:val="hybridMultilevel"/>
    <w:tmpl w:val="A1DC14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1C6E4E"/>
    <w:multiLevelType w:val="hybridMultilevel"/>
    <w:tmpl w:val="F408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96833"/>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0FE4"/>
    <w:multiLevelType w:val="hybridMultilevel"/>
    <w:tmpl w:val="9F38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571F8"/>
    <w:multiLevelType w:val="hybridMultilevel"/>
    <w:tmpl w:val="0916D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A47C2"/>
    <w:multiLevelType w:val="hybridMultilevel"/>
    <w:tmpl w:val="286E8A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9" w15:restartNumberingAfterBreak="0">
    <w:nsid w:val="2BE709E6"/>
    <w:multiLevelType w:val="hybridMultilevel"/>
    <w:tmpl w:val="28C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E5442"/>
    <w:multiLevelType w:val="hybridMultilevel"/>
    <w:tmpl w:val="79F4F6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742EC0"/>
    <w:multiLevelType w:val="hybridMultilevel"/>
    <w:tmpl w:val="D40A29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916F6A"/>
    <w:multiLevelType w:val="hybridMultilevel"/>
    <w:tmpl w:val="214A7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3B3735"/>
    <w:multiLevelType w:val="hybridMultilevel"/>
    <w:tmpl w:val="35DCA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CE4F74"/>
    <w:multiLevelType w:val="multilevel"/>
    <w:tmpl w:val="77DEF10A"/>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E00A1C"/>
    <w:multiLevelType w:val="multilevel"/>
    <w:tmpl w:val="530A2B68"/>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86C004B"/>
    <w:multiLevelType w:val="hybridMultilevel"/>
    <w:tmpl w:val="C792E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823D85"/>
    <w:multiLevelType w:val="multilevel"/>
    <w:tmpl w:val="AC18B018"/>
    <w:lvl w:ilvl="0">
      <w:start w:val="1"/>
      <w:numFmt w:val="lowerLetter"/>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18"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20" w15:restartNumberingAfterBreak="0">
    <w:nsid w:val="769F0498"/>
    <w:multiLevelType w:val="multilevel"/>
    <w:tmpl w:val="5634A1FC"/>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1" w15:restartNumberingAfterBreak="0">
    <w:nsid w:val="78E300E1"/>
    <w:multiLevelType w:val="hybridMultilevel"/>
    <w:tmpl w:val="B57CC2C2"/>
    <w:lvl w:ilvl="0" w:tplc="38DA94C2">
      <w:start w:val="4"/>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2" w15:restartNumberingAfterBreak="0">
    <w:nsid w:val="7D21286A"/>
    <w:multiLevelType w:val="multilevel"/>
    <w:tmpl w:val="4950E034"/>
    <w:lvl w:ilvl="0">
      <w:start w:val="1"/>
      <w:numFmt w:val="decimal"/>
      <w:lvlText w:val="%1"/>
      <w:lvlJc w:val="left"/>
      <w:pPr>
        <w:tabs>
          <w:tab w:val="num" w:pos="720"/>
        </w:tabs>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E5D09E8"/>
    <w:multiLevelType w:val="hybridMultilevel"/>
    <w:tmpl w:val="5C300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715085">
    <w:abstractNumId w:val="15"/>
  </w:num>
  <w:num w:numId="2" w16cid:durableId="928152797">
    <w:abstractNumId w:val="8"/>
  </w:num>
  <w:num w:numId="3" w16cid:durableId="759645910">
    <w:abstractNumId w:val="19"/>
  </w:num>
  <w:num w:numId="4" w16cid:durableId="922882394">
    <w:abstractNumId w:val="0"/>
  </w:num>
  <w:num w:numId="5" w16cid:durableId="1191262033">
    <w:abstractNumId w:val="18"/>
  </w:num>
  <w:num w:numId="6" w16cid:durableId="1535918458">
    <w:abstractNumId w:val="17"/>
  </w:num>
  <w:num w:numId="7" w16cid:durableId="1724481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386427">
    <w:abstractNumId w:val="1"/>
  </w:num>
  <w:num w:numId="9" w16cid:durableId="1548176709">
    <w:abstractNumId w:val="15"/>
  </w:num>
  <w:num w:numId="10" w16cid:durableId="1207641438">
    <w:abstractNumId w:val="15"/>
  </w:num>
  <w:num w:numId="11" w16cid:durableId="1124497927">
    <w:abstractNumId w:val="19"/>
  </w:num>
  <w:num w:numId="12" w16cid:durableId="1013072794">
    <w:abstractNumId w:val="21"/>
  </w:num>
  <w:num w:numId="13" w16cid:durableId="1083651042">
    <w:abstractNumId w:val="15"/>
  </w:num>
  <w:num w:numId="14" w16cid:durableId="1796828978">
    <w:abstractNumId w:val="15"/>
  </w:num>
  <w:num w:numId="15" w16cid:durableId="1279334495">
    <w:abstractNumId w:val="7"/>
  </w:num>
  <w:num w:numId="16" w16cid:durableId="1032606131">
    <w:abstractNumId w:val="23"/>
  </w:num>
  <w:num w:numId="17" w16cid:durableId="2020112602">
    <w:abstractNumId w:val="6"/>
  </w:num>
  <w:num w:numId="18" w16cid:durableId="134878247">
    <w:abstractNumId w:val="12"/>
  </w:num>
  <w:num w:numId="19" w16cid:durableId="1313099859">
    <w:abstractNumId w:val="2"/>
  </w:num>
  <w:num w:numId="20" w16cid:durableId="2115709153">
    <w:abstractNumId w:val="3"/>
  </w:num>
  <w:num w:numId="21" w16cid:durableId="1428037053">
    <w:abstractNumId w:val="5"/>
  </w:num>
  <w:num w:numId="22" w16cid:durableId="930704026">
    <w:abstractNumId w:val="11"/>
  </w:num>
  <w:num w:numId="23" w16cid:durableId="2050106875">
    <w:abstractNumId w:val="16"/>
  </w:num>
  <w:num w:numId="24" w16cid:durableId="85543287">
    <w:abstractNumId w:val="9"/>
  </w:num>
  <w:num w:numId="25" w16cid:durableId="740059287">
    <w:abstractNumId w:val="22"/>
  </w:num>
  <w:num w:numId="26" w16cid:durableId="1229270170">
    <w:abstractNumId w:val="14"/>
  </w:num>
  <w:num w:numId="27" w16cid:durableId="2024819928">
    <w:abstractNumId w:val="10"/>
  </w:num>
  <w:num w:numId="28" w16cid:durableId="668559091">
    <w:abstractNumId w:val="4"/>
  </w:num>
  <w:num w:numId="29" w16cid:durableId="1946384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2341329">
    <w:abstractNumId w:val="20"/>
  </w:num>
  <w:num w:numId="31" w16cid:durableId="1555387408">
    <w:abstractNumId w:val="13"/>
  </w:num>
  <w:num w:numId="32" w16cid:durableId="250742103">
    <w:abstractNumId w:val="15"/>
  </w:num>
  <w:num w:numId="33" w16cid:durableId="385690675">
    <w:abstractNumId w:val="15"/>
  </w:num>
  <w:num w:numId="34" w16cid:durableId="771517253">
    <w:abstractNumId w:val="15"/>
  </w:num>
  <w:num w:numId="35" w16cid:durableId="1105543389">
    <w:abstractNumId w:val="15"/>
  </w:num>
  <w:num w:numId="36" w16cid:durableId="2112046499">
    <w:abstractNumId w:val="15"/>
  </w:num>
  <w:num w:numId="37" w16cid:durableId="1009336698">
    <w:abstractNumId w:val="15"/>
  </w:num>
  <w:num w:numId="38" w16cid:durableId="257493152">
    <w:abstractNumId w:val="15"/>
  </w:num>
  <w:num w:numId="39" w16cid:durableId="1796488531">
    <w:abstractNumId w:val="15"/>
  </w:num>
  <w:num w:numId="40" w16cid:durableId="161169832">
    <w:abstractNumId w:val="15"/>
  </w:num>
  <w:num w:numId="41" w16cid:durableId="1871989627">
    <w:abstractNumId w:val="15"/>
  </w:num>
  <w:num w:numId="42" w16cid:durableId="104617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2096352">
    <w:abstractNumId w:val="15"/>
  </w:num>
  <w:num w:numId="44" w16cid:durableId="1350566704">
    <w:abstractNumId w:val="15"/>
  </w:num>
  <w:num w:numId="45" w16cid:durableId="104274137">
    <w:abstractNumId w:val="15"/>
  </w:num>
  <w:num w:numId="46" w16cid:durableId="322975646">
    <w:abstractNumId w:val="15"/>
  </w:num>
  <w:num w:numId="47" w16cid:durableId="565452713">
    <w:abstractNumId w:val="15"/>
  </w:num>
  <w:num w:numId="48" w16cid:durableId="1978795730">
    <w:abstractNumId w:val="8"/>
  </w:num>
  <w:numIdMacAtCleanup w:val="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14008"/>
    <w:rsid w:val="00014DC9"/>
    <w:rsid w:val="00016A33"/>
    <w:rsid w:val="00021FB5"/>
    <w:rsid w:val="000231A0"/>
    <w:rsid w:val="00030C9D"/>
    <w:rsid w:val="00031A6E"/>
    <w:rsid w:val="000406FF"/>
    <w:rsid w:val="00041E67"/>
    <w:rsid w:val="00042808"/>
    <w:rsid w:val="0004520A"/>
    <w:rsid w:val="00047C74"/>
    <w:rsid w:val="00050E65"/>
    <w:rsid w:val="000525A0"/>
    <w:rsid w:val="00056AB5"/>
    <w:rsid w:val="00067AE6"/>
    <w:rsid w:val="00074C26"/>
    <w:rsid w:val="000774AC"/>
    <w:rsid w:val="00085899"/>
    <w:rsid w:val="00087B24"/>
    <w:rsid w:val="00087CDB"/>
    <w:rsid w:val="0009310F"/>
    <w:rsid w:val="00094DB5"/>
    <w:rsid w:val="0009715F"/>
    <w:rsid w:val="000A0B5E"/>
    <w:rsid w:val="000A0F3E"/>
    <w:rsid w:val="000A5876"/>
    <w:rsid w:val="000A78E1"/>
    <w:rsid w:val="000B3756"/>
    <w:rsid w:val="000B523F"/>
    <w:rsid w:val="000B5393"/>
    <w:rsid w:val="000C150F"/>
    <w:rsid w:val="000C194E"/>
    <w:rsid w:val="000C7253"/>
    <w:rsid w:val="000C7BF6"/>
    <w:rsid w:val="000D2D6A"/>
    <w:rsid w:val="000D7458"/>
    <w:rsid w:val="000E646C"/>
    <w:rsid w:val="000E720E"/>
    <w:rsid w:val="000E79E3"/>
    <w:rsid w:val="000F195B"/>
    <w:rsid w:val="000F2EAA"/>
    <w:rsid w:val="00101A91"/>
    <w:rsid w:val="001027E6"/>
    <w:rsid w:val="001054E2"/>
    <w:rsid w:val="00113FFB"/>
    <w:rsid w:val="00114731"/>
    <w:rsid w:val="0012609B"/>
    <w:rsid w:val="0013095D"/>
    <w:rsid w:val="00134957"/>
    <w:rsid w:val="001359C9"/>
    <w:rsid w:val="00141523"/>
    <w:rsid w:val="001446EE"/>
    <w:rsid w:val="001470E5"/>
    <w:rsid w:val="00147730"/>
    <w:rsid w:val="00151954"/>
    <w:rsid w:val="00155EE1"/>
    <w:rsid w:val="00157395"/>
    <w:rsid w:val="00160844"/>
    <w:rsid w:val="00165CE4"/>
    <w:rsid w:val="00174522"/>
    <w:rsid w:val="00175B3E"/>
    <w:rsid w:val="0017758A"/>
    <w:rsid w:val="001840F9"/>
    <w:rsid w:val="00185BEE"/>
    <w:rsid w:val="00187A28"/>
    <w:rsid w:val="001916B8"/>
    <w:rsid w:val="00192879"/>
    <w:rsid w:val="0019416F"/>
    <w:rsid w:val="00197468"/>
    <w:rsid w:val="001A2161"/>
    <w:rsid w:val="001A3A44"/>
    <w:rsid w:val="001A437C"/>
    <w:rsid w:val="001A5201"/>
    <w:rsid w:val="001A56D9"/>
    <w:rsid w:val="001A6E1C"/>
    <w:rsid w:val="001B0855"/>
    <w:rsid w:val="001B4BA8"/>
    <w:rsid w:val="001B7585"/>
    <w:rsid w:val="001C2E6E"/>
    <w:rsid w:val="001C42CD"/>
    <w:rsid w:val="001C7653"/>
    <w:rsid w:val="001D5FE0"/>
    <w:rsid w:val="001E4382"/>
    <w:rsid w:val="001E4947"/>
    <w:rsid w:val="001E5675"/>
    <w:rsid w:val="001E6AD5"/>
    <w:rsid w:val="001F02A3"/>
    <w:rsid w:val="001F22CE"/>
    <w:rsid w:val="001F445B"/>
    <w:rsid w:val="00202BD7"/>
    <w:rsid w:val="00202D64"/>
    <w:rsid w:val="002055F0"/>
    <w:rsid w:val="0021102B"/>
    <w:rsid w:val="002229CF"/>
    <w:rsid w:val="00222C19"/>
    <w:rsid w:val="00225C1F"/>
    <w:rsid w:val="00225E32"/>
    <w:rsid w:val="00227470"/>
    <w:rsid w:val="00227B95"/>
    <w:rsid w:val="00235B1D"/>
    <w:rsid w:val="0023694E"/>
    <w:rsid w:val="00237130"/>
    <w:rsid w:val="00243BB0"/>
    <w:rsid w:val="00244929"/>
    <w:rsid w:val="00245D84"/>
    <w:rsid w:val="002516E9"/>
    <w:rsid w:val="0025266A"/>
    <w:rsid w:val="00256757"/>
    <w:rsid w:val="00257FEF"/>
    <w:rsid w:val="002625AD"/>
    <w:rsid w:val="002649E5"/>
    <w:rsid w:val="0027565C"/>
    <w:rsid w:val="00290AB7"/>
    <w:rsid w:val="00291C7B"/>
    <w:rsid w:val="002942EF"/>
    <w:rsid w:val="00294389"/>
    <w:rsid w:val="00297348"/>
    <w:rsid w:val="002A1D60"/>
    <w:rsid w:val="002B2683"/>
    <w:rsid w:val="002B2AF4"/>
    <w:rsid w:val="002B6F56"/>
    <w:rsid w:val="002B6F6D"/>
    <w:rsid w:val="002B78C1"/>
    <w:rsid w:val="002C1B0C"/>
    <w:rsid w:val="002C1B59"/>
    <w:rsid w:val="002C1C0C"/>
    <w:rsid w:val="002C230D"/>
    <w:rsid w:val="002C658D"/>
    <w:rsid w:val="002D6299"/>
    <w:rsid w:val="002F2EC7"/>
    <w:rsid w:val="002F438E"/>
    <w:rsid w:val="002F793B"/>
    <w:rsid w:val="002F7CD3"/>
    <w:rsid w:val="002F7DAA"/>
    <w:rsid w:val="00306BEA"/>
    <w:rsid w:val="00307A43"/>
    <w:rsid w:val="00310E55"/>
    <w:rsid w:val="00320D8F"/>
    <w:rsid w:val="00321B2F"/>
    <w:rsid w:val="00322981"/>
    <w:rsid w:val="00322D5A"/>
    <w:rsid w:val="00333C62"/>
    <w:rsid w:val="00336323"/>
    <w:rsid w:val="003408B2"/>
    <w:rsid w:val="00342497"/>
    <w:rsid w:val="003442C8"/>
    <w:rsid w:val="00344412"/>
    <w:rsid w:val="003511A7"/>
    <w:rsid w:val="0035286B"/>
    <w:rsid w:val="00357851"/>
    <w:rsid w:val="003771A7"/>
    <w:rsid w:val="00377848"/>
    <w:rsid w:val="0038413F"/>
    <w:rsid w:val="00396B5A"/>
    <w:rsid w:val="00397D2B"/>
    <w:rsid w:val="003A7006"/>
    <w:rsid w:val="003B7099"/>
    <w:rsid w:val="003B7C71"/>
    <w:rsid w:val="003C5989"/>
    <w:rsid w:val="003C6F2C"/>
    <w:rsid w:val="003C7062"/>
    <w:rsid w:val="003D3CD9"/>
    <w:rsid w:val="003D3E1A"/>
    <w:rsid w:val="003D7EE8"/>
    <w:rsid w:val="003E17F6"/>
    <w:rsid w:val="004032FE"/>
    <w:rsid w:val="0040475C"/>
    <w:rsid w:val="00412DA9"/>
    <w:rsid w:val="00413F4D"/>
    <w:rsid w:val="0042158E"/>
    <w:rsid w:val="004356D2"/>
    <w:rsid w:val="00441E8E"/>
    <w:rsid w:val="00442B7E"/>
    <w:rsid w:val="004448D0"/>
    <w:rsid w:val="00446CAB"/>
    <w:rsid w:val="004473CE"/>
    <w:rsid w:val="00450A23"/>
    <w:rsid w:val="00450F92"/>
    <w:rsid w:val="00453D79"/>
    <w:rsid w:val="00453E4F"/>
    <w:rsid w:val="004641A7"/>
    <w:rsid w:val="004641CC"/>
    <w:rsid w:val="00467C58"/>
    <w:rsid w:val="00472F52"/>
    <w:rsid w:val="004736AB"/>
    <w:rsid w:val="00473C49"/>
    <w:rsid w:val="0047660D"/>
    <w:rsid w:val="00477782"/>
    <w:rsid w:val="004806AA"/>
    <w:rsid w:val="00482FD3"/>
    <w:rsid w:val="00492D88"/>
    <w:rsid w:val="00496D8B"/>
    <w:rsid w:val="004A2158"/>
    <w:rsid w:val="004A6503"/>
    <w:rsid w:val="004A7831"/>
    <w:rsid w:val="004A7E2F"/>
    <w:rsid w:val="004C0471"/>
    <w:rsid w:val="004C08B8"/>
    <w:rsid w:val="004C1044"/>
    <w:rsid w:val="004C159E"/>
    <w:rsid w:val="004C7461"/>
    <w:rsid w:val="004C7588"/>
    <w:rsid w:val="004C7D4D"/>
    <w:rsid w:val="004D5AF7"/>
    <w:rsid w:val="004E40F8"/>
    <w:rsid w:val="004F39C6"/>
    <w:rsid w:val="004F70A7"/>
    <w:rsid w:val="004F744F"/>
    <w:rsid w:val="00502543"/>
    <w:rsid w:val="00517016"/>
    <w:rsid w:val="00523C6C"/>
    <w:rsid w:val="00544F6E"/>
    <w:rsid w:val="0055271C"/>
    <w:rsid w:val="00555279"/>
    <w:rsid w:val="00563AB7"/>
    <w:rsid w:val="00566453"/>
    <w:rsid w:val="005763E2"/>
    <w:rsid w:val="00582648"/>
    <w:rsid w:val="00582E72"/>
    <w:rsid w:val="005849AF"/>
    <w:rsid w:val="00586F78"/>
    <w:rsid w:val="005870BF"/>
    <w:rsid w:val="0058788E"/>
    <w:rsid w:val="005A1311"/>
    <w:rsid w:val="005A1FF5"/>
    <w:rsid w:val="005B0A6C"/>
    <w:rsid w:val="005B3A2C"/>
    <w:rsid w:val="005B4E73"/>
    <w:rsid w:val="005C3533"/>
    <w:rsid w:val="005C4828"/>
    <w:rsid w:val="005C756C"/>
    <w:rsid w:val="005C7F16"/>
    <w:rsid w:val="005D5D38"/>
    <w:rsid w:val="005E7932"/>
    <w:rsid w:val="005F3FA5"/>
    <w:rsid w:val="005F4497"/>
    <w:rsid w:val="005F7D7E"/>
    <w:rsid w:val="00600B41"/>
    <w:rsid w:val="006046C2"/>
    <w:rsid w:val="00605155"/>
    <w:rsid w:val="00605627"/>
    <w:rsid w:val="00611617"/>
    <w:rsid w:val="00611DC1"/>
    <w:rsid w:val="00612ADF"/>
    <w:rsid w:val="006147FE"/>
    <w:rsid w:val="00625CFE"/>
    <w:rsid w:val="00625D8C"/>
    <w:rsid w:val="00651018"/>
    <w:rsid w:val="00653B41"/>
    <w:rsid w:val="00655567"/>
    <w:rsid w:val="00663101"/>
    <w:rsid w:val="006635C5"/>
    <w:rsid w:val="0066503F"/>
    <w:rsid w:val="0066655F"/>
    <w:rsid w:val="00671719"/>
    <w:rsid w:val="0067653F"/>
    <w:rsid w:val="006818D6"/>
    <w:rsid w:val="00682E57"/>
    <w:rsid w:val="00690887"/>
    <w:rsid w:val="00694AA6"/>
    <w:rsid w:val="00695B02"/>
    <w:rsid w:val="006A4476"/>
    <w:rsid w:val="006B51D2"/>
    <w:rsid w:val="006B741A"/>
    <w:rsid w:val="006B7719"/>
    <w:rsid w:val="006C0619"/>
    <w:rsid w:val="006C0C6B"/>
    <w:rsid w:val="006D2DE7"/>
    <w:rsid w:val="006D3F55"/>
    <w:rsid w:val="006E2C93"/>
    <w:rsid w:val="006E4A7E"/>
    <w:rsid w:val="006E7ABD"/>
    <w:rsid w:val="006E7C96"/>
    <w:rsid w:val="006F6D36"/>
    <w:rsid w:val="006F73E7"/>
    <w:rsid w:val="00701D96"/>
    <w:rsid w:val="00702536"/>
    <w:rsid w:val="00704F54"/>
    <w:rsid w:val="00710FCC"/>
    <w:rsid w:val="0071244C"/>
    <w:rsid w:val="0071318B"/>
    <w:rsid w:val="00715C37"/>
    <w:rsid w:val="007178C2"/>
    <w:rsid w:val="007214B8"/>
    <w:rsid w:val="007339CF"/>
    <w:rsid w:val="00735BE6"/>
    <w:rsid w:val="007370AE"/>
    <w:rsid w:val="0073763F"/>
    <w:rsid w:val="0074124A"/>
    <w:rsid w:val="0074569C"/>
    <w:rsid w:val="00745DAF"/>
    <w:rsid w:val="007507C4"/>
    <w:rsid w:val="00752C79"/>
    <w:rsid w:val="00754443"/>
    <w:rsid w:val="00760D31"/>
    <w:rsid w:val="00762C97"/>
    <w:rsid w:val="0077029F"/>
    <w:rsid w:val="00772243"/>
    <w:rsid w:val="00775121"/>
    <w:rsid w:val="00786F5B"/>
    <w:rsid w:val="007879B0"/>
    <w:rsid w:val="007B2154"/>
    <w:rsid w:val="007C15A4"/>
    <w:rsid w:val="007C34D0"/>
    <w:rsid w:val="007C365B"/>
    <w:rsid w:val="007C54C1"/>
    <w:rsid w:val="007D09CE"/>
    <w:rsid w:val="007E04DF"/>
    <w:rsid w:val="007E1C99"/>
    <w:rsid w:val="007E225E"/>
    <w:rsid w:val="007E2DFA"/>
    <w:rsid w:val="007E7317"/>
    <w:rsid w:val="007F68F7"/>
    <w:rsid w:val="0080073F"/>
    <w:rsid w:val="00813B14"/>
    <w:rsid w:val="00813E46"/>
    <w:rsid w:val="00816CB4"/>
    <w:rsid w:val="00817FFD"/>
    <w:rsid w:val="00824B75"/>
    <w:rsid w:val="008377AA"/>
    <w:rsid w:val="00841A37"/>
    <w:rsid w:val="008443B1"/>
    <w:rsid w:val="00845032"/>
    <w:rsid w:val="00850830"/>
    <w:rsid w:val="00862DBE"/>
    <w:rsid w:val="00873B61"/>
    <w:rsid w:val="00874F98"/>
    <w:rsid w:val="00880E39"/>
    <w:rsid w:val="00881BDF"/>
    <w:rsid w:val="0088663C"/>
    <w:rsid w:val="00893FCB"/>
    <w:rsid w:val="008A3BE6"/>
    <w:rsid w:val="008A4148"/>
    <w:rsid w:val="008A69B7"/>
    <w:rsid w:val="008B4E78"/>
    <w:rsid w:val="008B4EB4"/>
    <w:rsid w:val="008B57A0"/>
    <w:rsid w:val="008C1B9B"/>
    <w:rsid w:val="008C24BE"/>
    <w:rsid w:val="008C50A5"/>
    <w:rsid w:val="008C67C1"/>
    <w:rsid w:val="008D0F62"/>
    <w:rsid w:val="008D2701"/>
    <w:rsid w:val="008D4565"/>
    <w:rsid w:val="008D525E"/>
    <w:rsid w:val="008E2B77"/>
    <w:rsid w:val="008F14BA"/>
    <w:rsid w:val="008F1E55"/>
    <w:rsid w:val="008F3BA0"/>
    <w:rsid w:val="008F5370"/>
    <w:rsid w:val="00906C61"/>
    <w:rsid w:val="00916B14"/>
    <w:rsid w:val="009226AF"/>
    <w:rsid w:val="00927CD8"/>
    <w:rsid w:val="00934820"/>
    <w:rsid w:val="00935388"/>
    <w:rsid w:val="0093593B"/>
    <w:rsid w:val="00935F22"/>
    <w:rsid w:val="009373C9"/>
    <w:rsid w:val="00940184"/>
    <w:rsid w:val="00941C08"/>
    <w:rsid w:val="00942155"/>
    <w:rsid w:val="00942692"/>
    <w:rsid w:val="00943F43"/>
    <w:rsid w:val="00944805"/>
    <w:rsid w:val="00945971"/>
    <w:rsid w:val="00956692"/>
    <w:rsid w:val="00957326"/>
    <w:rsid w:val="00960F7F"/>
    <w:rsid w:val="009710C1"/>
    <w:rsid w:val="0097392F"/>
    <w:rsid w:val="00983178"/>
    <w:rsid w:val="0098620F"/>
    <w:rsid w:val="0098680E"/>
    <w:rsid w:val="009901C9"/>
    <w:rsid w:val="009904C4"/>
    <w:rsid w:val="009A0E9F"/>
    <w:rsid w:val="009A1667"/>
    <w:rsid w:val="009A277C"/>
    <w:rsid w:val="009A3E64"/>
    <w:rsid w:val="009A7A65"/>
    <w:rsid w:val="009B0A44"/>
    <w:rsid w:val="009B0E79"/>
    <w:rsid w:val="009B2D50"/>
    <w:rsid w:val="009C454E"/>
    <w:rsid w:val="009C79BE"/>
    <w:rsid w:val="009D5D6C"/>
    <w:rsid w:val="009E10F1"/>
    <w:rsid w:val="009E3B6E"/>
    <w:rsid w:val="009F24A2"/>
    <w:rsid w:val="009F2F38"/>
    <w:rsid w:val="009F56DE"/>
    <w:rsid w:val="009F6123"/>
    <w:rsid w:val="00A03764"/>
    <w:rsid w:val="00A042F4"/>
    <w:rsid w:val="00A11CB9"/>
    <w:rsid w:val="00A13232"/>
    <w:rsid w:val="00A155D2"/>
    <w:rsid w:val="00A22FD5"/>
    <w:rsid w:val="00A233ED"/>
    <w:rsid w:val="00A3661A"/>
    <w:rsid w:val="00A4427C"/>
    <w:rsid w:val="00A475E0"/>
    <w:rsid w:val="00A50E22"/>
    <w:rsid w:val="00A51FA3"/>
    <w:rsid w:val="00A55F35"/>
    <w:rsid w:val="00A5639A"/>
    <w:rsid w:val="00A568D0"/>
    <w:rsid w:val="00A5792B"/>
    <w:rsid w:val="00A65F4B"/>
    <w:rsid w:val="00A70855"/>
    <w:rsid w:val="00A73B57"/>
    <w:rsid w:val="00A77A50"/>
    <w:rsid w:val="00A93AE6"/>
    <w:rsid w:val="00AA1448"/>
    <w:rsid w:val="00AA28BA"/>
    <w:rsid w:val="00AB0266"/>
    <w:rsid w:val="00AB1A4D"/>
    <w:rsid w:val="00AB48A0"/>
    <w:rsid w:val="00AB4A14"/>
    <w:rsid w:val="00AC10AF"/>
    <w:rsid w:val="00AC154C"/>
    <w:rsid w:val="00AC198E"/>
    <w:rsid w:val="00AC39FE"/>
    <w:rsid w:val="00AC6B4A"/>
    <w:rsid w:val="00AD0002"/>
    <w:rsid w:val="00AD3E01"/>
    <w:rsid w:val="00AD77BC"/>
    <w:rsid w:val="00AD7EEE"/>
    <w:rsid w:val="00AE61EE"/>
    <w:rsid w:val="00AE6BF5"/>
    <w:rsid w:val="00B061DB"/>
    <w:rsid w:val="00B101E5"/>
    <w:rsid w:val="00B1026E"/>
    <w:rsid w:val="00B119C5"/>
    <w:rsid w:val="00B130F1"/>
    <w:rsid w:val="00B16C3B"/>
    <w:rsid w:val="00B30F97"/>
    <w:rsid w:val="00B427B2"/>
    <w:rsid w:val="00B43634"/>
    <w:rsid w:val="00B45709"/>
    <w:rsid w:val="00B5254D"/>
    <w:rsid w:val="00B53F23"/>
    <w:rsid w:val="00B57069"/>
    <w:rsid w:val="00B5755D"/>
    <w:rsid w:val="00B64FC0"/>
    <w:rsid w:val="00B66BAE"/>
    <w:rsid w:val="00B679EB"/>
    <w:rsid w:val="00B67D3A"/>
    <w:rsid w:val="00B76E8F"/>
    <w:rsid w:val="00B77AAF"/>
    <w:rsid w:val="00B80AA2"/>
    <w:rsid w:val="00B84728"/>
    <w:rsid w:val="00B9353F"/>
    <w:rsid w:val="00B935E0"/>
    <w:rsid w:val="00B96807"/>
    <w:rsid w:val="00B97A42"/>
    <w:rsid w:val="00BA2990"/>
    <w:rsid w:val="00BA6C55"/>
    <w:rsid w:val="00BB038D"/>
    <w:rsid w:val="00BB2640"/>
    <w:rsid w:val="00BC04C2"/>
    <w:rsid w:val="00BC61E6"/>
    <w:rsid w:val="00BC707E"/>
    <w:rsid w:val="00BC70D4"/>
    <w:rsid w:val="00BD6693"/>
    <w:rsid w:val="00BE10B6"/>
    <w:rsid w:val="00BE2FA1"/>
    <w:rsid w:val="00BE69B6"/>
    <w:rsid w:val="00BF036E"/>
    <w:rsid w:val="00BF6BBE"/>
    <w:rsid w:val="00C05EBE"/>
    <w:rsid w:val="00C10EC7"/>
    <w:rsid w:val="00C12127"/>
    <w:rsid w:val="00C1263D"/>
    <w:rsid w:val="00C15D78"/>
    <w:rsid w:val="00C2058D"/>
    <w:rsid w:val="00C215D2"/>
    <w:rsid w:val="00C24215"/>
    <w:rsid w:val="00C263D7"/>
    <w:rsid w:val="00C32059"/>
    <w:rsid w:val="00C40869"/>
    <w:rsid w:val="00C44718"/>
    <w:rsid w:val="00C460D2"/>
    <w:rsid w:val="00C506CB"/>
    <w:rsid w:val="00C53571"/>
    <w:rsid w:val="00C53DB2"/>
    <w:rsid w:val="00C6137B"/>
    <w:rsid w:val="00C62C9D"/>
    <w:rsid w:val="00C66E37"/>
    <w:rsid w:val="00C701D9"/>
    <w:rsid w:val="00C7364D"/>
    <w:rsid w:val="00C73787"/>
    <w:rsid w:val="00C754F5"/>
    <w:rsid w:val="00C835F1"/>
    <w:rsid w:val="00C84E43"/>
    <w:rsid w:val="00C84EED"/>
    <w:rsid w:val="00C85F37"/>
    <w:rsid w:val="00C86AA6"/>
    <w:rsid w:val="00C939F3"/>
    <w:rsid w:val="00CA402A"/>
    <w:rsid w:val="00CA4639"/>
    <w:rsid w:val="00CB459F"/>
    <w:rsid w:val="00CB6083"/>
    <w:rsid w:val="00CB6128"/>
    <w:rsid w:val="00CD6484"/>
    <w:rsid w:val="00CE1128"/>
    <w:rsid w:val="00CF2F7F"/>
    <w:rsid w:val="00CF71D4"/>
    <w:rsid w:val="00D01CA5"/>
    <w:rsid w:val="00D021AD"/>
    <w:rsid w:val="00D0291E"/>
    <w:rsid w:val="00D0699A"/>
    <w:rsid w:val="00D076D6"/>
    <w:rsid w:val="00D1133E"/>
    <w:rsid w:val="00D12F69"/>
    <w:rsid w:val="00D25218"/>
    <w:rsid w:val="00D3033E"/>
    <w:rsid w:val="00D36D6D"/>
    <w:rsid w:val="00D403AE"/>
    <w:rsid w:val="00D419D6"/>
    <w:rsid w:val="00D41EBE"/>
    <w:rsid w:val="00D469AC"/>
    <w:rsid w:val="00D47124"/>
    <w:rsid w:val="00D50338"/>
    <w:rsid w:val="00D55441"/>
    <w:rsid w:val="00D6178D"/>
    <w:rsid w:val="00D652B7"/>
    <w:rsid w:val="00D66F1F"/>
    <w:rsid w:val="00D7057F"/>
    <w:rsid w:val="00D7533F"/>
    <w:rsid w:val="00D83AF4"/>
    <w:rsid w:val="00D90773"/>
    <w:rsid w:val="00D915FC"/>
    <w:rsid w:val="00D95847"/>
    <w:rsid w:val="00D9664B"/>
    <w:rsid w:val="00D96CEC"/>
    <w:rsid w:val="00DB2BE2"/>
    <w:rsid w:val="00DB3715"/>
    <w:rsid w:val="00DB46D2"/>
    <w:rsid w:val="00DB6822"/>
    <w:rsid w:val="00DD1F10"/>
    <w:rsid w:val="00DD3591"/>
    <w:rsid w:val="00DD3E72"/>
    <w:rsid w:val="00DD6CD0"/>
    <w:rsid w:val="00DE292A"/>
    <w:rsid w:val="00DE4960"/>
    <w:rsid w:val="00DE6B08"/>
    <w:rsid w:val="00DE74B2"/>
    <w:rsid w:val="00DE7567"/>
    <w:rsid w:val="00DF0961"/>
    <w:rsid w:val="00DF508A"/>
    <w:rsid w:val="00E06DA7"/>
    <w:rsid w:val="00E07277"/>
    <w:rsid w:val="00E10F04"/>
    <w:rsid w:val="00E1322C"/>
    <w:rsid w:val="00E14B4E"/>
    <w:rsid w:val="00E151A6"/>
    <w:rsid w:val="00E16AEC"/>
    <w:rsid w:val="00E22C27"/>
    <w:rsid w:val="00E25837"/>
    <w:rsid w:val="00E279D8"/>
    <w:rsid w:val="00E27B0A"/>
    <w:rsid w:val="00E30120"/>
    <w:rsid w:val="00E34131"/>
    <w:rsid w:val="00E424EC"/>
    <w:rsid w:val="00E45B1D"/>
    <w:rsid w:val="00E545E8"/>
    <w:rsid w:val="00E574D9"/>
    <w:rsid w:val="00E651F7"/>
    <w:rsid w:val="00E70643"/>
    <w:rsid w:val="00E71A18"/>
    <w:rsid w:val="00E81A51"/>
    <w:rsid w:val="00E82EF1"/>
    <w:rsid w:val="00E962CC"/>
    <w:rsid w:val="00E97E61"/>
    <w:rsid w:val="00EA24A7"/>
    <w:rsid w:val="00EB2BD8"/>
    <w:rsid w:val="00EB661F"/>
    <w:rsid w:val="00EC2F70"/>
    <w:rsid w:val="00EC4F23"/>
    <w:rsid w:val="00ED06DC"/>
    <w:rsid w:val="00ED2108"/>
    <w:rsid w:val="00ED2804"/>
    <w:rsid w:val="00ED67F1"/>
    <w:rsid w:val="00EE23D6"/>
    <w:rsid w:val="00EE2BD9"/>
    <w:rsid w:val="00EF60C9"/>
    <w:rsid w:val="00EF6856"/>
    <w:rsid w:val="00EF7CB7"/>
    <w:rsid w:val="00F115A0"/>
    <w:rsid w:val="00F12A84"/>
    <w:rsid w:val="00F143AC"/>
    <w:rsid w:val="00F15620"/>
    <w:rsid w:val="00F15AF4"/>
    <w:rsid w:val="00F33247"/>
    <w:rsid w:val="00F33678"/>
    <w:rsid w:val="00F50763"/>
    <w:rsid w:val="00F515A0"/>
    <w:rsid w:val="00F5682E"/>
    <w:rsid w:val="00F74302"/>
    <w:rsid w:val="00F75E08"/>
    <w:rsid w:val="00F81DA3"/>
    <w:rsid w:val="00F90E9A"/>
    <w:rsid w:val="00F91E83"/>
    <w:rsid w:val="00F92501"/>
    <w:rsid w:val="00F940A1"/>
    <w:rsid w:val="00F9446C"/>
    <w:rsid w:val="00FA2AB5"/>
    <w:rsid w:val="00FA38D4"/>
    <w:rsid w:val="00FA7929"/>
    <w:rsid w:val="00FA7B3F"/>
    <w:rsid w:val="00FA7CDC"/>
    <w:rsid w:val="00FB762B"/>
    <w:rsid w:val="00FB772F"/>
    <w:rsid w:val="00FC416D"/>
    <w:rsid w:val="00FC5B99"/>
    <w:rsid w:val="00FD00CF"/>
    <w:rsid w:val="00FD2191"/>
    <w:rsid w:val="00FE1E0D"/>
    <w:rsid w:val="00FE47A2"/>
    <w:rsid w:val="00FF2D61"/>
    <w:rsid w:val="00FF49E6"/>
    <w:rsid w:val="00FF4AEA"/>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30E8EC4D-3F28-B14B-A7A4-725C1F2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qFormat/>
    <w:rsid w:val="002C1B59"/>
    <w:pPr>
      <w:keepNext/>
      <w:keepLines/>
      <w:numPr>
        <w:numId w:val="1"/>
      </w:numPr>
      <w:spacing w:after="120"/>
      <w:outlineLvl w:val="0"/>
    </w:pPr>
    <w:rPr>
      <w:color w:val="009696"/>
      <w:sz w:val="40"/>
      <w:szCs w:val="40"/>
    </w:rPr>
  </w:style>
  <w:style w:type="paragraph" w:styleId="Heading2">
    <w:name w:val="heading 2"/>
    <w:basedOn w:val="Normal"/>
    <w:next w:val="BodyText"/>
    <w:qFormat/>
    <w:rsid w:val="002C1B59"/>
    <w:pPr>
      <w:keepNext/>
      <w:keepLines/>
      <w:spacing w:after="120"/>
      <w:ind w:left="720"/>
      <w:outlineLvl w:val="1"/>
    </w:pPr>
    <w:rPr>
      <w:color w:val="009696"/>
      <w:sz w:val="32"/>
      <w:szCs w:val="32"/>
    </w:rPr>
  </w:style>
  <w:style w:type="paragraph" w:styleId="Heading3">
    <w:name w:val="heading 3"/>
    <w:basedOn w:val="Normal"/>
    <w:next w:val="BodyText"/>
    <w:link w:val="Heading3Char"/>
    <w:qFormat/>
    <w:rsid w:val="002C1B59"/>
    <w:pPr>
      <w:keepNext/>
      <w:keepLines/>
      <w:spacing w:after="120"/>
      <w:ind w:left="720"/>
      <w:outlineLvl w:val="2"/>
    </w:pPr>
    <w:rPr>
      <w:color w:val="009696"/>
      <w:szCs w:val="24"/>
    </w:rPr>
  </w:style>
  <w:style w:type="paragraph" w:styleId="Heading4">
    <w:name w:val="heading 4"/>
    <w:basedOn w:val="Normal"/>
    <w:next w:val="BodyText"/>
    <w:qFormat/>
    <w:rsid w:val="002C1B59"/>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2E57"/>
    <w:pPr>
      <w:keepLines/>
      <w:numPr>
        <w:ilvl w:val="1"/>
        <w:numId w:val="1"/>
      </w:numPr>
      <w:spacing w:after="120"/>
    </w:p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FA2AB5"/>
    <w:pPr>
      <w:numPr>
        <w:numId w:val="2"/>
      </w:numPr>
      <w:spacing w:after="120"/>
      <w:contextualSpacing/>
    </w:pPr>
  </w:style>
  <w:style w:type="paragraph" w:customStyle="1" w:styleId="ListNumbered">
    <w:name w:val="List Numbered"/>
    <w:basedOn w:val="Normal"/>
    <w:qFormat/>
    <w:rsid w:val="00FA2AB5"/>
    <w:pPr>
      <w:numPr>
        <w:numId w:val="3"/>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916B14"/>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5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qFormat/>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5"/>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682E57"/>
  </w:style>
  <w:style w:type="paragraph" w:styleId="ListNumber">
    <w:name w:val="List Number"/>
    <w:basedOn w:val="Normal"/>
    <w:uiPriority w:val="99"/>
    <w:unhideWhenUsed/>
    <w:qFormat/>
    <w:rsid w:val="00D7533F"/>
    <w:pPr>
      <w:numPr>
        <w:numId w:val="4"/>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numPr>
        <w:numId w:val="0"/>
      </w:num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uiPriority w:val="99"/>
    <w:locked/>
    <w:rsid w:val="002C1B59"/>
    <w:rPr>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qFormat/>
    <w:rsid w:val="00B53F23"/>
  </w:style>
  <w:style w:type="numbering" w:customStyle="1" w:styleId="CurrentList1">
    <w:name w:val="Current List1"/>
    <w:uiPriority w:val="99"/>
    <w:rsid w:val="001B7585"/>
    <w:pPr>
      <w:numPr>
        <w:numId w:val="28"/>
      </w:numPr>
    </w:pPr>
  </w:style>
  <w:style w:type="character" w:customStyle="1" w:styleId="Heading3Char">
    <w:name w:val="Heading 3 Char"/>
    <w:basedOn w:val="DefaultParagraphFont"/>
    <w:link w:val="Heading3"/>
    <w:rsid w:val="00B061DB"/>
    <w:rPr>
      <w:color w:val="0096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2358</Words>
  <Characters>12902</Characters>
  <Application>Microsoft Office Word</Application>
  <DocSecurity>0</DocSecurity>
  <Lines>368</Lines>
  <Paragraphs>305</Paragraphs>
  <ScaleCrop>false</ScaleCrop>
  <Manager/>
  <Company>POS</Company>
  <LinksUpToDate>false</LinksUpToDate>
  <CharactersWithSpaces>14955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65</cp:revision>
  <cp:lastPrinted>2019-12-01T16:51:00Z</cp:lastPrinted>
  <dcterms:created xsi:type="dcterms:W3CDTF">2020-02-01T22:34:00Z</dcterms:created>
  <dcterms:modified xsi:type="dcterms:W3CDTF">2026-06-17T16:08:00Z</dcterms:modified>
  <cp:category/>
</cp:coreProperties>
</file>