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C24B" w14:textId="78C89313" w:rsidR="00856ED2" w:rsidRPr="00856ED2" w:rsidRDefault="00A55F91" w:rsidP="00856ED2">
      <w:pPr>
        <w:spacing w:after="120"/>
        <w:rPr>
          <w:b/>
          <w:bCs/>
          <w:sz w:val="24"/>
          <w:szCs w:val="24"/>
        </w:rPr>
      </w:pPr>
      <w:r w:rsidRPr="00856ED2">
        <w:rPr>
          <w:b/>
          <w:bCs/>
          <w:sz w:val="24"/>
          <w:szCs w:val="24"/>
        </w:rPr>
        <w:t>Mayor of London</w:t>
      </w:r>
    </w:p>
    <w:p w14:paraId="537AA349" w14:textId="7A6616D4" w:rsidR="000362EA" w:rsidRDefault="00FE5C75" w:rsidP="00856ED2">
      <w:pPr>
        <w:spacing w:after="120"/>
        <w:rPr>
          <w:sz w:val="24"/>
          <w:szCs w:val="24"/>
        </w:rPr>
      </w:pPr>
      <w:r w:rsidRPr="00124849">
        <w:rPr>
          <w:sz w:val="24"/>
          <w:szCs w:val="24"/>
        </w:rPr>
        <w:t xml:space="preserve">Consultation on the </w:t>
      </w:r>
      <w:r>
        <w:rPr>
          <w:sz w:val="24"/>
          <w:szCs w:val="24"/>
        </w:rPr>
        <w:t>d</w:t>
      </w:r>
      <w:r w:rsidR="00A55F91" w:rsidRPr="00856ED2">
        <w:rPr>
          <w:sz w:val="24"/>
          <w:szCs w:val="24"/>
        </w:rPr>
        <w:t>raft London Plan Guidance</w:t>
      </w:r>
      <w:r w:rsidR="00680ABE" w:rsidRPr="00856ED2">
        <w:rPr>
          <w:sz w:val="24"/>
          <w:szCs w:val="24"/>
        </w:rPr>
        <w:t>: Support for housebuilding (November 2025)</w:t>
      </w:r>
    </w:p>
    <w:p w14:paraId="68203B73" w14:textId="77777777" w:rsidR="00792CA7" w:rsidRPr="00792CA7" w:rsidRDefault="00792CA7" w:rsidP="00856ED2">
      <w:pPr>
        <w:spacing w:after="120"/>
        <w:rPr>
          <w:b/>
          <w:bCs/>
        </w:rPr>
      </w:pPr>
      <w:r w:rsidRPr="00792CA7">
        <w:rPr>
          <w:b/>
          <w:bCs/>
        </w:rPr>
        <w:t>Introductory comments</w:t>
      </w:r>
    </w:p>
    <w:p w14:paraId="1C79175B" w14:textId="799D57D6" w:rsidR="00450B5F" w:rsidRDefault="007B57FB" w:rsidP="00450B5F">
      <w:pPr>
        <w:spacing w:after="120"/>
      </w:pPr>
      <w:r>
        <w:t xml:space="preserve">POS considers that </w:t>
      </w:r>
      <w:r w:rsidR="00694F65">
        <w:t>these</w:t>
      </w:r>
      <w:r w:rsidRPr="007B57FB">
        <w:t xml:space="preserve"> </w:t>
      </w:r>
      <w:r w:rsidR="00CE2434" w:rsidRPr="00CE2434">
        <w:t>measure</w:t>
      </w:r>
      <w:r w:rsidR="00694F65">
        <w:t>s</w:t>
      </w:r>
      <w:r w:rsidR="00694F65" w:rsidRPr="00694F65">
        <w:t xml:space="preserve"> </w:t>
      </w:r>
      <w:r w:rsidR="00694F65">
        <w:t>are</w:t>
      </w:r>
      <w:r w:rsidR="00694F65" w:rsidRPr="00CE2434">
        <w:t xml:space="preserve"> </w:t>
      </w:r>
      <w:r w:rsidR="00AC31B4">
        <w:t xml:space="preserve">fundamentally </w:t>
      </w:r>
      <w:r w:rsidR="001E266C">
        <w:t>misplaced</w:t>
      </w:r>
      <w:r w:rsidR="00694F65" w:rsidRPr="00CE2434">
        <w:t>.</w:t>
      </w:r>
      <w:r w:rsidR="00694F65" w:rsidRPr="00694F65">
        <w:t xml:space="preserve"> </w:t>
      </w:r>
      <w:r w:rsidR="001E266C">
        <w:t>They</w:t>
      </w:r>
      <w:r w:rsidR="00E036D5">
        <w:t xml:space="preserve"> </w:t>
      </w:r>
      <w:r w:rsidR="00694F65" w:rsidRPr="00CE2434">
        <w:t>confus</w:t>
      </w:r>
      <w:r w:rsidR="00E036D5">
        <w:t>e</w:t>
      </w:r>
      <w:r w:rsidR="00694F65" w:rsidRPr="00CE2434">
        <w:t xml:space="preserve"> the need for new homers with the demand for housing. This is</w:t>
      </w:r>
      <w:r w:rsidR="00694F65" w:rsidRPr="007B57FB">
        <w:t xml:space="preserve"> </w:t>
      </w:r>
      <w:r w:rsidR="00694F65" w:rsidRPr="00CE2434">
        <w:t>a major policy failure that has been repeated by successive governments</w:t>
      </w:r>
      <w:r w:rsidR="00665393">
        <w:t xml:space="preserve"> since the 1980s</w:t>
      </w:r>
      <w:r w:rsidR="00694F65" w:rsidRPr="00CE2434">
        <w:t>.</w:t>
      </w:r>
      <w:r w:rsidR="00694F65" w:rsidRPr="007B57FB">
        <w:t xml:space="preserve"> </w:t>
      </w:r>
      <w:r w:rsidR="00694F65" w:rsidRPr="00CE2434">
        <w:t xml:space="preserve">Whilst the need for homes is </w:t>
      </w:r>
      <w:r w:rsidR="005F253E" w:rsidRPr="00CE2434">
        <w:t>clear</w:t>
      </w:r>
      <w:r w:rsidR="00694F65" w:rsidRPr="00CE2434">
        <w:t>, few people can afford to buy in the</w:t>
      </w:r>
      <w:r w:rsidR="00694F65" w:rsidRPr="007B57FB">
        <w:t xml:space="preserve"> </w:t>
      </w:r>
      <w:r w:rsidR="00694F65" w:rsidRPr="00CE2434">
        <w:t>current housing market</w:t>
      </w:r>
      <w:r w:rsidR="007868FE">
        <w:t>;</w:t>
      </w:r>
      <w:r w:rsidR="003F76A6">
        <w:t xml:space="preserve"> m</w:t>
      </w:r>
      <w:r w:rsidR="00694F65" w:rsidRPr="00CE2434">
        <w:t xml:space="preserve">ortgage costs remain </w:t>
      </w:r>
      <w:r w:rsidR="000A4FE1">
        <w:t xml:space="preserve">relatively </w:t>
      </w:r>
      <w:r w:rsidR="00694F65" w:rsidRPr="00CE2434">
        <w:t>high</w:t>
      </w:r>
      <w:r w:rsidR="003F76A6">
        <w:t xml:space="preserve"> and t</w:t>
      </w:r>
      <w:r w:rsidR="00694F65" w:rsidRPr="00CE2434">
        <w:t>he deposit required is</w:t>
      </w:r>
      <w:r w:rsidR="00694F65" w:rsidRPr="007B57FB">
        <w:t xml:space="preserve"> </w:t>
      </w:r>
      <w:r w:rsidR="00694F65" w:rsidRPr="00CE2434">
        <w:t>unaffordable for most people.</w:t>
      </w:r>
      <w:r w:rsidR="00694F65" w:rsidRPr="007B57FB">
        <w:t xml:space="preserve"> </w:t>
      </w:r>
      <w:r w:rsidR="00B705E5">
        <w:t xml:space="preserve">The social housing model </w:t>
      </w:r>
      <w:r w:rsidR="00532B57">
        <w:t>has been</w:t>
      </w:r>
      <w:r w:rsidR="00B705E5">
        <w:t xml:space="preserve"> broken </w:t>
      </w:r>
      <w:r w:rsidR="00532B57">
        <w:t xml:space="preserve">since 2011 </w:t>
      </w:r>
      <w:r w:rsidR="00B705E5">
        <w:t xml:space="preserve">and </w:t>
      </w:r>
      <w:r w:rsidR="00866BB4">
        <w:t xml:space="preserve">the consequential demand for temporary accommodation </w:t>
      </w:r>
      <w:r w:rsidR="00B705E5">
        <w:t xml:space="preserve">represents a </w:t>
      </w:r>
      <w:r w:rsidR="005D354C">
        <w:t xml:space="preserve">huge </w:t>
      </w:r>
      <w:r w:rsidR="00B705E5">
        <w:t>drain on public money</w:t>
      </w:r>
      <w:r w:rsidR="005D354C">
        <w:t xml:space="preserve"> that</w:t>
      </w:r>
      <w:r w:rsidR="00DA2526">
        <w:t xml:space="preserve"> i</w:t>
      </w:r>
      <w:r w:rsidR="005D354C">
        <w:t xml:space="preserve">s </w:t>
      </w:r>
      <w:r w:rsidR="00EC0908">
        <w:t xml:space="preserve">taking </w:t>
      </w:r>
      <w:r w:rsidR="005D354C">
        <w:t>many councils</w:t>
      </w:r>
      <w:r w:rsidR="00EC0908" w:rsidRPr="00EC0908">
        <w:t xml:space="preserve"> </w:t>
      </w:r>
      <w:r w:rsidR="00EC0908">
        <w:t xml:space="preserve">to the verge of </w:t>
      </w:r>
      <w:r w:rsidR="00713289">
        <w:t xml:space="preserve">if not into </w:t>
      </w:r>
      <w:r w:rsidR="00EC0908">
        <w:t>bankruptcy</w:t>
      </w:r>
      <w:r w:rsidR="005D354C">
        <w:t xml:space="preserve">. </w:t>
      </w:r>
      <w:r w:rsidR="00744F05">
        <w:t xml:space="preserve">The private housebuilding sector will not </w:t>
      </w:r>
      <w:r w:rsidR="00744F05" w:rsidRPr="00CE2434">
        <w:t>build our way out of</w:t>
      </w:r>
      <w:r w:rsidR="00744F05" w:rsidRPr="007B57FB">
        <w:t xml:space="preserve"> </w:t>
      </w:r>
      <w:r w:rsidR="00744F05">
        <w:t xml:space="preserve">these </w:t>
      </w:r>
      <w:r w:rsidR="00450B5F">
        <w:t xml:space="preserve">problems; they’re job is to make money </w:t>
      </w:r>
      <w:r w:rsidR="00C61630">
        <w:t xml:space="preserve">for their shareholders </w:t>
      </w:r>
      <w:r w:rsidR="00450B5F">
        <w:t>out of building and selling homes</w:t>
      </w:r>
      <w:r w:rsidR="00C14A90">
        <w:t xml:space="preserve"> and if they </w:t>
      </w:r>
      <w:r w:rsidR="001417BF">
        <w:t>do not</w:t>
      </w:r>
      <w:r w:rsidR="00C14A90">
        <w:t xml:space="preserve"> think they can sell, they will not build</w:t>
      </w:r>
      <w:r w:rsidR="00450B5F">
        <w:t>.</w:t>
      </w:r>
      <w:r w:rsidR="00450B5F" w:rsidRPr="00450B5F">
        <w:t xml:space="preserve"> </w:t>
      </w:r>
      <w:r w:rsidR="00450B5F" w:rsidRPr="00CE2434">
        <w:t>Given the</w:t>
      </w:r>
      <w:r w:rsidR="00450B5F">
        <w:t>se</w:t>
      </w:r>
      <w:r w:rsidR="00450B5F" w:rsidRPr="00CE2434">
        <w:t xml:space="preserve"> structural failings in the housing market, this stimulus package </w:t>
      </w:r>
      <w:r w:rsidR="00450B5F">
        <w:t>fails to</w:t>
      </w:r>
      <w:r w:rsidR="00450B5F" w:rsidRPr="00CE2434">
        <w:t xml:space="preserve"> address the underlying problems.</w:t>
      </w:r>
      <w:r w:rsidR="00450B5F" w:rsidRPr="00F55DD4">
        <w:t xml:space="preserve"> </w:t>
      </w:r>
      <w:r w:rsidR="00450B5F" w:rsidRPr="00CE2434">
        <w:t>It</w:t>
      </w:r>
      <w:r w:rsidR="00450B5F" w:rsidRPr="007B57FB">
        <w:t xml:space="preserve"> </w:t>
      </w:r>
      <w:r w:rsidR="00450B5F" w:rsidRPr="00CE2434">
        <w:t xml:space="preserve">is </w:t>
      </w:r>
      <w:r w:rsidR="001417BF">
        <w:t>fundamentally about</w:t>
      </w:r>
      <w:r w:rsidR="00450B5F" w:rsidRPr="00CE2434">
        <w:t xml:space="preserve"> economics</w:t>
      </w:r>
      <w:r w:rsidR="00450B5F">
        <w:t>, but o</w:t>
      </w:r>
      <w:r w:rsidR="00450B5F" w:rsidRPr="00CE2434">
        <w:t>nce again</w:t>
      </w:r>
      <w:r w:rsidR="00450B5F">
        <w:t xml:space="preserve"> changes to the</w:t>
      </w:r>
      <w:r w:rsidR="00450B5F" w:rsidRPr="00CE2434">
        <w:t xml:space="preserve"> planning system </w:t>
      </w:r>
      <w:r w:rsidR="00450B5F">
        <w:t>are proposed to give the appearance of action, but the fundamental problems remain unaddressed</w:t>
      </w:r>
      <w:r w:rsidR="00450B5F" w:rsidRPr="00CE2434">
        <w:t xml:space="preserve">. </w:t>
      </w:r>
    </w:p>
    <w:p w14:paraId="62B54B55" w14:textId="3E0690F4" w:rsidR="00CE2434" w:rsidRPr="007B57FB" w:rsidRDefault="002035FD" w:rsidP="00856ED2">
      <w:pPr>
        <w:spacing w:after="120"/>
      </w:pPr>
      <w:r>
        <w:t xml:space="preserve">POS has </w:t>
      </w:r>
      <w:r w:rsidR="003209E3">
        <w:t xml:space="preserve">previously </w:t>
      </w:r>
      <w:r>
        <w:t xml:space="preserve">set out its views and recommendations on the </w:t>
      </w:r>
      <w:r w:rsidR="00EE3945">
        <w:t xml:space="preserve">housing crisis </w:t>
      </w:r>
      <w:hyperlink r:id="rId8" w:history="1">
        <w:r w:rsidR="00EE3945" w:rsidRPr="00E036D5">
          <w:rPr>
            <w:rStyle w:val="Hyperlink"/>
          </w:rPr>
          <w:t>here</w:t>
        </w:r>
      </w:hyperlink>
      <w:r w:rsidR="00EE3945">
        <w:t>.</w:t>
      </w:r>
    </w:p>
    <w:tbl>
      <w:tblPr>
        <w:tblStyle w:val="TableGrid"/>
        <w:tblW w:w="15309" w:type="dxa"/>
        <w:tblLook w:val="04A0" w:firstRow="1" w:lastRow="0" w:firstColumn="1" w:lastColumn="0" w:noHBand="0" w:noVBand="1"/>
      </w:tblPr>
      <w:tblGrid>
        <w:gridCol w:w="5889"/>
        <w:gridCol w:w="9420"/>
      </w:tblGrid>
      <w:tr w:rsidR="00856ED2" w:rsidRPr="00366D83" w14:paraId="379FA012" w14:textId="77777777" w:rsidTr="00455A82">
        <w:tc>
          <w:tcPr>
            <w:tcW w:w="5949" w:type="dxa"/>
          </w:tcPr>
          <w:p w14:paraId="20A5F5AF" w14:textId="6D09FE3E" w:rsidR="00856ED2" w:rsidRPr="00761115" w:rsidRDefault="00856ED2" w:rsidP="00856ED2">
            <w:pPr>
              <w:spacing w:after="120"/>
              <w:rPr>
                <w:b/>
                <w:bCs/>
              </w:rPr>
            </w:pPr>
            <w:r w:rsidRPr="00761115">
              <w:rPr>
                <w:b/>
                <w:bCs/>
              </w:rPr>
              <w:t xml:space="preserve">Consultation </w:t>
            </w:r>
            <w:r w:rsidR="00366D83" w:rsidRPr="00761115">
              <w:rPr>
                <w:b/>
                <w:bCs/>
              </w:rPr>
              <w:t>Q</w:t>
            </w:r>
            <w:r w:rsidRPr="00761115">
              <w:rPr>
                <w:b/>
                <w:bCs/>
              </w:rPr>
              <w:t>uestions</w:t>
            </w:r>
          </w:p>
        </w:tc>
        <w:tc>
          <w:tcPr>
            <w:tcW w:w="9497" w:type="dxa"/>
          </w:tcPr>
          <w:p w14:paraId="19CF0FD8" w14:textId="08F544AC" w:rsidR="00856ED2" w:rsidRPr="00761115" w:rsidRDefault="00856ED2" w:rsidP="00856ED2">
            <w:pPr>
              <w:spacing w:after="120"/>
              <w:rPr>
                <w:b/>
                <w:bCs/>
              </w:rPr>
            </w:pPr>
            <w:r w:rsidRPr="00761115">
              <w:rPr>
                <w:b/>
                <w:bCs/>
              </w:rPr>
              <w:t>POS London Response</w:t>
            </w:r>
          </w:p>
        </w:tc>
      </w:tr>
      <w:tr w:rsidR="00856ED2" w:rsidRPr="0040469F" w14:paraId="21874DBC" w14:textId="77777777" w:rsidTr="00455A82">
        <w:tc>
          <w:tcPr>
            <w:tcW w:w="5949" w:type="dxa"/>
          </w:tcPr>
          <w:p w14:paraId="01CC9AC6" w14:textId="336B7AEC" w:rsidR="00856ED2" w:rsidRPr="0040469F" w:rsidRDefault="00856ED2" w:rsidP="00856ED2">
            <w:pPr>
              <w:spacing w:after="120"/>
            </w:pPr>
            <w:r w:rsidRPr="0040469F">
              <w:t>1: Are the proposed changes to the cycle parking standards, in conjunction with the wider package proposed by this consultation, likely to make a material difference to the viability of residential schemes while still providing sufficient cycle parking to enable sustainable growth in London and mode shift?</w:t>
            </w:r>
          </w:p>
        </w:tc>
        <w:tc>
          <w:tcPr>
            <w:tcW w:w="9497" w:type="dxa"/>
          </w:tcPr>
          <w:p w14:paraId="215A554E" w14:textId="1F73768B" w:rsidR="00856ED2" w:rsidRPr="0040469F" w:rsidRDefault="001227C1" w:rsidP="00856ED2">
            <w:pPr>
              <w:spacing w:after="120"/>
            </w:pPr>
            <w:r w:rsidRPr="0040469F">
              <w:t>It is axiomatic that a</w:t>
            </w:r>
            <w:r w:rsidR="00761115" w:rsidRPr="0040469F">
              <w:t xml:space="preserve"> reduction in cycle parking numbers </w:t>
            </w:r>
            <w:r w:rsidR="004F2539">
              <w:t>will</w:t>
            </w:r>
            <w:r w:rsidR="00761115" w:rsidRPr="0040469F">
              <w:t xml:space="preserve"> </w:t>
            </w:r>
            <w:r w:rsidR="006174D1" w:rsidRPr="0040469F">
              <w:t>reduce</w:t>
            </w:r>
            <w:r w:rsidR="00761115" w:rsidRPr="0040469F">
              <w:t xml:space="preserve"> the need for space</w:t>
            </w:r>
            <w:r w:rsidR="00D869DE" w:rsidRPr="0040469F">
              <w:t xml:space="preserve"> </w:t>
            </w:r>
            <w:r w:rsidR="00457880" w:rsidRPr="0040469F">
              <w:t xml:space="preserve">dedicated to that purpose </w:t>
            </w:r>
            <w:r w:rsidR="00D869DE" w:rsidRPr="0040469F">
              <w:t>within a development</w:t>
            </w:r>
            <w:r w:rsidR="00761115" w:rsidRPr="0040469F">
              <w:t xml:space="preserve">. If that space is then used for </w:t>
            </w:r>
            <w:r w:rsidR="00D869DE" w:rsidRPr="0040469F">
              <w:t xml:space="preserve">economically </w:t>
            </w:r>
            <w:r w:rsidR="004F2539">
              <w:t xml:space="preserve">more </w:t>
            </w:r>
            <w:r w:rsidR="00D869DE" w:rsidRPr="0040469F">
              <w:t xml:space="preserve">beneficial purposes </w:t>
            </w:r>
            <w:proofErr w:type="gramStart"/>
            <w:r w:rsidR="00577AB3">
              <w:t>and also</w:t>
            </w:r>
            <w:proofErr w:type="gramEnd"/>
            <w:r w:rsidR="00D869DE" w:rsidRPr="0040469F">
              <w:t xml:space="preserve"> results in </w:t>
            </w:r>
            <w:r w:rsidR="002344B3" w:rsidRPr="0040469F">
              <w:t>the</w:t>
            </w:r>
            <w:r w:rsidR="00D869DE" w:rsidRPr="0040469F">
              <w:t xml:space="preserve"> need for less expensive forms of construction (eg </w:t>
            </w:r>
            <w:r w:rsidR="002A72BF" w:rsidRPr="0040469F">
              <w:t xml:space="preserve">reduced </w:t>
            </w:r>
            <w:r w:rsidR="00D869DE" w:rsidRPr="0040469F">
              <w:t xml:space="preserve">basement space) </w:t>
            </w:r>
            <w:r w:rsidR="005E3DBD" w:rsidRPr="0040469F">
              <w:t xml:space="preserve">and savings in the provision of </w:t>
            </w:r>
            <w:r w:rsidR="009639B6">
              <w:t xml:space="preserve">cycle </w:t>
            </w:r>
            <w:r w:rsidR="005E3DBD" w:rsidRPr="0040469F">
              <w:t xml:space="preserve">parking infrastructure (racks etc) </w:t>
            </w:r>
            <w:r w:rsidR="00D869DE" w:rsidRPr="0040469F">
              <w:t>th</w:t>
            </w:r>
            <w:r w:rsidR="002A72BF" w:rsidRPr="0040469F">
              <w:t>e</w:t>
            </w:r>
            <w:r w:rsidR="00D869DE" w:rsidRPr="0040469F">
              <w:t xml:space="preserve">n it </w:t>
            </w:r>
            <w:r w:rsidR="002344B3" w:rsidRPr="0040469F">
              <w:t>must</w:t>
            </w:r>
            <w:r w:rsidR="00D869DE" w:rsidRPr="0040469F">
              <w:t xml:space="preserve"> have a positive impact on viability</w:t>
            </w:r>
            <w:r w:rsidR="00834907" w:rsidRPr="0040469F">
              <w:t>,</w:t>
            </w:r>
            <w:r w:rsidR="002344B3" w:rsidRPr="0040469F">
              <w:t xml:space="preserve"> commensurate with </w:t>
            </w:r>
            <w:r w:rsidR="006E6449" w:rsidRPr="0040469F">
              <w:t>any</w:t>
            </w:r>
            <w:r w:rsidR="002344B3" w:rsidRPr="0040469F">
              <w:t xml:space="preserve"> additional income </w:t>
            </w:r>
            <w:r w:rsidR="00914874">
              <w:t>and</w:t>
            </w:r>
            <w:r w:rsidR="002344B3" w:rsidRPr="0040469F">
              <w:t xml:space="preserve"> </w:t>
            </w:r>
            <w:r w:rsidR="002A72BF" w:rsidRPr="0040469F">
              <w:t xml:space="preserve">construction cost </w:t>
            </w:r>
            <w:r w:rsidR="002344B3" w:rsidRPr="0040469F">
              <w:t>savings.</w:t>
            </w:r>
            <w:r w:rsidR="002A2270" w:rsidRPr="0040469F">
              <w:t xml:space="preserve"> Whether that difference is material will depend on the </w:t>
            </w:r>
            <w:r w:rsidR="003325CA" w:rsidRPr="0040469F">
              <w:t>particulars</w:t>
            </w:r>
            <w:r w:rsidR="002A2270" w:rsidRPr="0040469F">
              <w:t xml:space="preserve"> of each development.</w:t>
            </w:r>
          </w:p>
        </w:tc>
      </w:tr>
      <w:tr w:rsidR="00856ED2" w:rsidRPr="0040469F" w14:paraId="69EE5839" w14:textId="77777777" w:rsidTr="00455A82">
        <w:tc>
          <w:tcPr>
            <w:tcW w:w="5949" w:type="dxa"/>
          </w:tcPr>
          <w:p w14:paraId="5EBDD8D9" w14:textId="3D5786E0" w:rsidR="00856ED2" w:rsidRPr="0040469F" w:rsidRDefault="00856ED2" w:rsidP="00856ED2">
            <w:pPr>
              <w:spacing w:after="120"/>
            </w:pPr>
            <w:r w:rsidRPr="0040469F">
              <w:t>2: Do you consider that the guidance on flexibility and quality in sections 2.3 and 2.4 of the guidance will address development viability and cycle parking quality challenges?</w:t>
            </w:r>
          </w:p>
        </w:tc>
        <w:tc>
          <w:tcPr>
            <w:tcW w:w="9497" w:type="dxa"/>
          </w:tcPr>
          <w:p w14:paraId="6C7F15EA" w14:textId="558A66E1" w:rsidR="002B5D60" w:rsidRPr="0040469F" w:rsidRDefault="00B93210" w:rsidP="00856ED2">
            <w:pPr>
              <w:spacing w:after="120"/>
            </w:pPr>
            <w:r w:rsidRPr="0040469F">
              <w:t>Yes</w:t>
            </w:r>
            <w:r w:rsidR="00F11BAE" w:rsidRPr="0040469F">
              <w:t xml:space="preserve">, but the guidance does not sufficiently </w:t>
            </w:r>
            <w:r w:rsidR="00E514D8" w:rsidRPr="0040469F">
              <w:t xml:space="preserve">reflect </w:t>
            </w:r>
            <w:r w:rsidR="00F11BAE" w:rsidRPr="0040469F">
              <w:t xml:space="preserve">the clear desire </w:t>
            </w:r>
            <w:r w:rsidR="00E514D8" w:rsidRPr="0040469F">
              <w:t>by</w:t>
            </w:r>
            <w:r w:rsidR="00F11BAE" w:rsidRPr="0040469F">
              <w:t xml:space="preserve"> London</w:t>
            </w:r>
            <w:r w:rsidR="00E514D8" w:rsidRPr="0040469F">
              <w:t>ers</w:t>
            </w:r>
            <w:r w:rsidR="00F11BAE" w:rsidRPr="0040469F">
              <w:t xml:space="preserve">, especially its younger </w:t>
            </w:r>
            <w:r w:rsidR="00E514D8" w:rsidRPr="0040469F">
              <w:t>cohorts, to hire items such as bicycles, rather than own them</w:t>
            </w:r>
            <w:r w:rsidRPr="0040469F">
              <w:t xml:space="preserve">. </w:t>
            </w:r>
          </w:p>
          <w:p w14:paraId="3434D579" w14:textId="04C28365" w:rsidR="00856ED2" w:rsidRPr="0040469F" w:rsidRDefault="00ED3EE2" w:rsidP="00856ED2">
            <w:pPr>
              <w:spacing w:after="120"/>
            </w:pPr>
            <w:r w:rsidRPr="0040469F">
              <w:t>With</w:t>
            </w:r>
            <w:r w:rsidR="00B93210" w:rsidRPr="0040469F">
              <w:t xml:space="preserve"> respect to </w:t>
            </w:r>
            <w:r w:rsidRPr="0040469F">
              <w:t>para 2.4.3</w:t>
            </w:r>
            <w:r w:rsidR="00732C29" w:rsidRPr="0040469F">
              <w:t xml:space="preserve"> </w:t>
            </w:r>
            <w:r w:rsidR="009D514B">
              <w:t>(</w:t>
            </w:r>
            <w:r w:rsidRPr="0040469F">
              <w:t xml:space="preserve">3) </w:t>
            </w:r>
            <w:r w:rsidR="002B5D60" w:rsidRPr="0040469F">
              <w:t xml:space="preserve">Locating cycle stores within dwellings: </w:t>
            </w:r>
            <w:r w:rsidRPr="0040469F">
              <w:t xml:space="preserve">consideration needs to be given to the dangers of storing electric bikes and the </w:t>
            </w:r>
            <w:r w:rsidR="00C12E1F">
              <w:t xml:space="preserve">significant </w:t>
            </w:r>
            <w:r w:rsidRPr="0040469F">
              <w:t>fire risks associated with them.</w:t>
            </w:r>
          </w:p>
        </w:tc>
      </w:tr>
      <w:tr w:rsidR="00856ED2" w:rsidRPr="0040469F" w14:paraId="63494F37" w14:textId="77777777" w:rsidTr="00455A82">
        <w:tc>
          <w:tcPr>
            <w:tcW w:w="5949" w:type="dxa"/>
          </w:tcPr>
          <w:p w14:paraId="77BB77AB" w14:textId="61DE22BA" w:rsidR="00856ED2" w:rsidRPr="0040469F" w:rsidRDefault="00856ED2" w:rsidP="00856ED2">
            <w:pPr>
              <w:spacing w:after="120"/>
            </w:pPr>
            <w:r w:rsidRPr="0040469F">
              <w:t>3: The GLA welcomes views on the proposed changes to the housing design standards.</w:t>
            </w:r>
          </w:p>
        </w:tc>
        <w:tc>
          <w:tcPr>
            <w:tcW w:w="9497" w:type="dxa"/>
          </w:tcPr>
          <w:p w14:paraId="2F5345D8" w14:textId="0A18CA95" w:rsidR="001E1A34" w:rsidRDefault="00481E2D" w:rsidP="00856ED2">
            <w:pPr>
              <w:spacing w:after="120"/>
            </w:pPr>
            <w:r>
              <w:t xml:space="preserve">The </w:t>
            </w:r>
            <w:r w:rsidR="00A42BCD">
              <w:t xml:space="preserve">GLA Housing Design Standards are guidance and are </w:t>
            </w:r>
            <w:r w:rsidR="00CA548C">
              <w:t xml:space="preserve">currently </w:t>
            </w:r>
            <w:r w:rsidR="00A42BCD">
              <w:t>applied flexibly by most LPAs.</w:t>
            </w:r>
          </w:p>
          <w:p w14:paraId="68E69D1E" w14:textId="65101834" w:rsidR="00662E5B" w:rsidRDefault="00A42BCD" w:rsidP="00856ED2">
            <w:pPr>
              <w:spacing w:after="120"/>
            </w:pPr>
            <w:r>
              <w:t xml:space="preserve">POS London does not </w:t>
            </w:r>
            <w:r w:rsidR="00E90480">
              <w:t>consider that reducing</w:t>
            </w:r>
            <w:r>
              <w:t xml:space="preserve"> standards </w:t>
            </w:r>
            <w:proofErr w:type="gramStart"/>
            <w:r w:rsidR="00E90480">
              <w:t>in order</w:t>
            </w:r>
            <w:r>
              <w:t xml:space="preserve"> to</w:t>
            </w:r>
            <w:proofErr w:type="gramEnd"/>
            <w:r>
              <w:t xml:space="preserve"> increase numbers </w:t>
            </w:r>
            <w:r w:rsidR="00996D2B">
              <w:t xml:space="preserve">is </w:t>
            </w:r>
            <w:r w:rsidR="008A67DD">
              <w:t xml:space="preserve">a sensible </w:t>
            </w:r>
            <w:r w:rsidR="00CA548C">
              <w:t xml:space="preserve">or acceptable </w:t>
            </w:r>
            <w:r w:rsidR="008A67DD">
              <w:t>policy response</w:t>
            </w:r>
            <w:r w:rsidR="001E1A34">
              <w:t xml:space="preserve"> </w:t>
            </w:r>
            <w:r w:rsidR="00CA548C">
              <w:t>because it</w:t>
            </w:r>
            <w:r w:rsidR="001E1A34">
              <w:t xml:space="preserve"> sends a </w:t>
            </w:r>
            <w:r w:rsidR="00DE07BF">
              <w:t xml:space="preserve">general </w:t>
            </w:r>
            <w:r w:rsidR="001E1A34">
              <w:t xml:space="preserve">message that numbers </w:t>
            </w:r>
            <w:r w:rsidR="00DE07BF">
              <w:t>are</w:t>
            </w:r>
            <w:r w:rsidR="001E1A34">
              <w:t xml:space="preserve"> more important than quality</w:t>
            </w:r>
            <w:r w:rsidR="008A67DD">
              <w:t>. No evidence has been produced</w:t>
            </w:r>
            <w:r w:rsidR="00DE07BF">
              <w:t xml:space="preserve"> as part of the consultation</w:t>
            </w:r>
            <w:r w:rsidR="008A67DD">
              <w:t xml:space="preserve"> that demonstrates that the</w:t>
            </w:r>
            <w:r w:rsidR="00230056">
              <w:t>se</w:t>
            </w:r>
            <w:r w:rsidR="008A67DD">
              <w:t xml:space="preserve"> </w:t>
            </w:r>
            <w:r w:rsidR="00662E5B">
              <w:t xml:space="preserve">design </w:t>
            </w:r>
            <w:r w:rsidR="008A67DD">
              <w:t>standards materially reduce housing numbers.</w:t>
            </w:r>
          </w:p>
          <w:p w14:paraId="6DEAC9B6" w14:textId="2F3D72EF" w:rsidR="00181CC1" w:rsidRPr="0040469F" w:rsidRDefault="00040BC8" w:rsidP="00856ED2">
            <w:pPr>
              <w:spacing w:after="120"/>
            </w:pPr>
            <w:r>
              <w:t>POS London would support further research on t</w:t>
            </w:r>
            <w:r w:rsidR="000051F5" w:rsidRPr="0040469F">
              <w:t>he</w:t>
            </w:r>
            <w:r w:rsidR="00181CC1" w:rsidRPr="0040469F">
              <w:t xml:space="preserve"> assumptions behind the dual aspect policy, particularly with </w:t>
            </w:r>
            <w:r w:rsidR="00CE6522">
              <w:t xml:space="preserve">respect to </w:t>
            </w:r>
            <w:r w:rsidR="00181CC1" w:rsidRPr="0040469F">
              <w:t>the impacts of climate change on solar gain</w:t>
            </w:r>
            <w:r w:rsidR="00DD03C0">
              <w:t xml:space="preserve"> and other associated impacts</w:t>
            </w:r>
            <w:r w:rsidR="00181CC1" w:rsidRPr="0040469F">
              <w:t xml:space="preserve"> within buildings</w:t>
            </w:r>
            <w:r w:rsidR="00697E2D">
              <w:t>.</w:t>
            </w:r>
          </w:p>
        </w:tc>
      </w:tr>
      <w:tr w:rsidR="00856ED2" w:rsidRPr="0040469F" w14:paraId="0FD078A4" w14:textId="77777777" w:rsidTr="00455A82">
        <w:tc>
          <w:tcPr>
            <w:tcW w:w="5949" w:type="dxa"/>
          </w:tcPr>
          <w:p w14:paraId="0E70D3D0" w14:textId="21E7343B" w:rsidR="00856ED2" w:rsidRPr="0040469F" w:rsidRDefault="00856ED2" w:rsidP="00856ED2">
            <w:pPr>
              <w:spacing w:after="120"/>
            </w:pPr>
            <w:r w:rsidRPr="0040469F">
              <w:t xml:space="preserve">4: The GLA welcomes views on the time-limited planning route. Do you agree that this will support the early delivery of housing development whilst also maximising affordable </w:t>
            </w:r>
            <w:r w:rsidRPr="0040469F">
              <w:lastRenderedPageBreak/>
              <w:t>housing provision in the short term? Are there any changes to the approach that would more effectively achieve these objectives?</w:t>
            </w:r>
          </w:p>
        </w:tc>
        <w:tc>
          <w:tcPr>
            <w:tcW w:w="9497" w:type="dxa"/>
          </w:tcPr>
          <w:p w14:paraId="7AB5FC86" w14:textId="4D303B79" w:rsidR="00571E80" w:rsidRPr="0040469F" w:rsidRDefault="0057649C" w:rsidP="000E5E9C">
            <w:pPr>
              <w:spacing w:after="120"/>
            </w:pPr>
            <w:r w:rsidRPr="0040469F">
              <w:lastRenderedPageBreak/>
              <w:t>There is no explanation as to why 20</w:t>
            </w:r>
            <w:r w:rsidR="00571E80" w:rsidRPr="0040469F">
              <w:t>% has been chosen</w:t>
            </w:r>
            <w:r w:rsidR="001145DC">
              <w:t>.</w:t>
            </w:r>
            <w:r w:rsidR="00571E80" w:rsidRPr="0040469F">
              <w:t xml:space="preserve"> POS suspects it is arbitrary.</w:t>
            </w:r>
          </w:p>
          <w:p w14:paraId="49D739D6" w14:textId="0FEE4EDB" w:rsidR="00856ED2" w:rsidRPr="0040469F" w:rsidRDefault="00BA57BC" w:rsidP="000E5E9C">
            <w:pPr>
              <w:spacing w:after="120"/>
            </w:pPr>
            <w:r w:rsidRPr="0040469F">
              <w:lastRenderedPageBreak/>
              <w:t xml:space="preserve">In the context of the </w:t>
            </w:r>
            <w:r w:rsidR="00095F41" w:rsidRPr="0040469F">
              <w:t xml:space="preserve">significant </w:t>
            </w:r>
            <w:r w:rsidRPr="0040469F">
              <w:t xml:space="preserve">drop in housing delivery across London, </w:t>
            </w:r>
            <w:r w:rsidR="004C630C" w:rsidRPr="0040469F">
              <w:t xml:space="preserve">we </w:t>
            </w:r>
            <w:r w:rsidRPr="0040469F">
              <w:t xml:space="preserve">understand the </w:t>
            </w:r>
            <w:r w:rsidR="00571E80" w:rsidRPr="0040469F">
              <w:t>desire</w:t>
            </w:r>
            <w:r w:rsidRPr="0040469F">
              <w:t xml:space="preserve"> for action to </w:t>
            </w:r>
            <w:r w:rsidR="00571E80" w:rsidRPr="0040469F">
              <w:t xml:space="preserve">seek to </w:t>
            </w:r>
            <w:r w:rsidRPr="0040469F">
              <w:t>stimulate the housing market, however</w:t>
            </w:r>
            <w:r w:rsidR="000E5E9C" w:rsidRPr="0040469F">
              <w:t>,</w:t>
            </w:r>
            <w:r w:rsidRPr="0040469F">
              <w:t xml:space="preserve"> </w:t>
            </w:r>
            <w:r w:rsidR="000E5E9C" w:rsidRPr="0040469F">
              <w:t>considering the i</w:t>
            </w:r>
            <w:r w:rsidRPr="0040469F">
              <w:t>ntroductory comments by POS</w:t>
            </w:r>
            <w:r w:rsidR="003A034A" w:rsidRPr="0040469F">
              <w:t xml:space="preserve"> about the state of the housing market</w:t>
            </w:r>
            <w:r w:rsidRPr="0040469F">
              <w:t>,</w:t>
            </w:r>
            <w:r w:rsidR="000E5E9C" w:rsidRPr="0040469F">
              <w:t xml:space="preserve"> it should be clear that these provisions are very unlikely to be a silver bullet</w:t>
            </w:r>
            <w:r w:rsidR="00095F41" w:rsidRPr="0040469F">
              <w:t>. T</w:t>
            </w:r>
            <w:r w:rsidR="0057649C" w:rsidRPr="0040469F">
              <w:t xml:space="preserve">he housebuilding sector have already </w:t>
            </w:r>
            <w:r w:rsidR="00A97538" w:rsidRPr="0040469F">
              <w:t>made</w:t>
            </w:r>
            <w:r w:rsidR="0057649C" w:rsidRPr="0040469F">
              <w:t xml:space="preserve"> noises to the effect that the measure needs to be lower than 20%</w:t>
            </w:r>
            <w:r w:rsidR="00E117EE">
              <w:t xml:space="preserve"> to have any impact</w:t>
            </w:r>
            <w:r w:rsidR="0057649C" w:rsidRPr="0040469F">
              <w:t>.</w:t>
            </w:r>
          </w:p>
          <w:p w14:paraId="4E6AFFB4" w14:textId="26E7EF9F" w:rsidR="00CF004E" w:rsidRPr="0040469F" w:rsidRDefault="00CF004E" w:rsidP="000E5E9C">
            <w:pPr>
              <w:spacing w:after="120"/>
            </w:pPr>
            <w:r w:rsidRPr="0040469F">
              <w:t>The provision of affordable housing</w:t>
            </w:r>
            <w:r w:rsidR="00095F41" w:rsidRPr="0040469F">
              <w:t>,</w:t>
            </w:r>
            <w:r w:rsidRPr="0040469F">
              <w:t xml:space="preserve"> funded through private housebuilding</w:t>
            </w:r>
            <w:r w:rsidR="00095F41" w:rsidRPr="0040469F">
              <w:t>,</w:t>
            </w:r>
            <w:r w:rsidRPr="0040469F">
              <w:t xml:space="preserve"> will always be a </w:t>
            </w:r>
            <w:r w:rsidR="00557D91" w:rsidRPr="0040469F">
              <w:t xml:space="preserve">viability </w:t>
            </w:r>
            <w:r w:rsidRPr="0040469F">
              <w:t xml:space="preserve">battle </w:t>
            </w:r>
            <w:r w:rsidR="00A63813" w:rsidRPr="0040469F">
              <w:t>g</w:t>
            </w:r>
            <w:r w:rsidRPr="0040469F">
              <w:t xml:space="preserve">round. Planning policy sends signals to the market </w:t>
            </w:r>
            <w:r w:rsidR="00304149" w:rsidRPr="0040469F">
              <w:t xml:space="preserve">that </w:t>
            </w:r>
            <w:r w:rsidR="00A63813" w:rsidRPr="0040469F">
              <w:t xml:space="preserve">should </w:t>
            </w:r>
            <w:r w:rsidR="00304149" w:rsidRPr="0040469F">
              <w:t>fee</w:t>
            </w:r>
            <w:r w:rsidR="00D73804" w:rsidRPr="0040469F">
              <w:t>d</w:t>
            </w:r>
            <w:r w:rsidR="00304149" w:rsidRPr="0040469F">
              <w:t xml:space="preserve"> into the setting of land values. </w:t>
            </w:r>
            <w:r w:rsidR="00D73804" w:rsidRPr="0040469F">
              <w:t xml:space="preserve">Those actors are </w:t>
            </w:r>
            <w:r w:rsidR="00544A7C">
              <w:t>understandably</w:t>
            </w:r>
            <w:r w:rsidR="00D73804" w:rsidRPr="0040469F">
              <w:t xml:space="preserve"> seeking to maximise </w:t>
            </w:r>
            <w:r w:rsidR="0028767B" w:rsidRPr="0040469F">
              <w:t>land</w:t>
            </w:r>
            <w:r w:rsidR="00D73804" w:rsidRPr="0040469F">
              <w:t xml:space="preserve"> values</w:t>
            </w:r>
            <w:r w:rsidR="00A63813" w:rsidRPr="0040469F">
              <w:t xml:space="preserve">, so we </w:t>
            </w:r>
            <w:r w:rsidR="00361B25">
              <w:t>end up playing</w:t>
            </w:r>
            <w:r w:rsidR="00A63813" w:rsidRPr="0040469F">
              <w:t xml:space="preserve"> viability games</w:t>
            </w:r>
            <w:r w:rsidR="00544A7C">
              <w:t xml:space="preserve"> when dealing with these matters in policy making</w:t>
            </w:r>
            <w:r w:rsidR="005976E1">
              <w:t xml:space="preserve"> </w:t>
            </w:r>
            <w:r w:rsidR="005976E1">
              <w:t>and</w:t>
            </w:r>
            <w:r w:rsidR="005976E1">
              <w:t xml:space="preserve"> decision making</w:t>
            </w:r>
            <w:r w:rsidR="00D73804" w:rsidRPr="0040469F">
              <w:t xml:space="preserve">. </w:t>
            </w:r>
            <w:r w:rsidR="00BF66B0" w:rsidRPr="0040469F">
              <w:t xml:space="preserve">If </w:t>
            </w:r>
            <w:r w:rsidR="003B6355">
              <w:t>these changes are</w:t>
            </w:r>
            <w:r w:rsidR="00BF66B0" w:rsidRPr="0040469F">
              <w:t xml:space="preserve"> </w:t>
            </w:r>
            <w:r w:rsidR="0028767B" w:rsidRPr="0040469F">
              <w:t>introduced,</w:t>
            </w:r>
            <w:r w:rsidR="00BF66B0" w:rsidRPr="0040469F">
              <w:t xml:space="preserve"> it is vital that </w:t>
            </w:r>
            <w:r w:rsidR="003B6355" w:rsidRPr="0040469F">
              <w:t>the GLA carrie</w:t>
            </w:r>
            <w:r w:rsidR="003B6355">
              <w:t>s</w:t>
            </w:r>
            <w:r w:rsidR="003B6355" w:rsidRPr="0040469F">
              <w:t xml:space="preserve"> out </w:t>
            </w:r>
            <w:r w:rsidR="00BF66B0" w:rsidRPr="0040469F">
              <w:t xml:space="preserve">research </w:t>
            </w:r>
            <w:r w:rsidR="0028767B" w:rsidRPr="0040469F">
              <w:t>to gauge</w:t>
            </w:r>
            <w:r w:rsidR="00BF66B0" w:rsidRPr="0040469F">
              <w:t xml:space="preserve"> </w:t>
            </w:r>
            <w:r w:rsidR="00FD6DA8">
              <w:t>their</w:t>
            </w:r>
            <w:r w:rsidR="00BF66B0" w:rsidRPr="0040469F">
              <w:t xml:space="preserve"> impact on underlying land values so</w:t>
            </w:r>
            <w:r w:rsidR="008264C1">
              <w:t>,</w:t>
            </w:r>
            <w:r w:rsidR="00BF66B0" w:rsidRPr="0040469F">
              <w:t xml:space="preserve"> if it does result in a </w:t>
            </w:r>
            <w:r w:rsidR="00D6450B" w:rsidRPr="0040469F">
              <w:t xml:space="preserve">phase of land price </w:t>
            </w:r>
            <w:r w:rsidR="0037674C" w:rsidRPr="0040469F">
              <w:t xml:space="preserve">inflation, </w:t>
            </w:r>
            <w:r w:rsidR="008264C1">
              <w:t>it</w:t>
            </w:r>
            <w:r w:rsidR="0037674C" w:rsidRPr="0040469F">
              <w:t xml:space="preserve"> is clearly understood</w:t>
            </w:r>
            <w:r w:rsidR="00A63813" w:rsidRPr="0040469F">
              <w:t xml:space="preserve"> and demonstrable to government</w:t>
            </w:r>
            <w:r w:rsidR="00D6450B" w:rsidRPr="0040469F">
              <w:t>.</w:t>
            </w:r>
          </w:p>
          <w:p w14:paraId="56543AE9" w14:textId="77777777" w:rsidR="0037674C" w:rsidRPr="0040469F" w:rsidRDefault="0037674C" w:rsidP="000E5E9C">
            <w:pPr>
              <w:spacing w:after="120"/>
            </w:pPr>
            <w:r w:rsidRPr="0040469F">
              <w:t xml:space="preserve">POS would have preferred the policy response to </w:t>
            </w:r>
            <w:r w:rsidR="00A63813" w:rsidRPr="0040469F">
              <w:t xml:space="preserve">have </w:t>
            </w:r>
            <w:r w:rsidRPr="0040469F">
              <w:t>be</w:t>
            </w:r>
            <w:r w:rsidR="00A63813" w:rsidRPr="0040469F">
              <w:t>en</w:t>
            </w:r>
            <w:r w:rsidRPr="0040469F">
              <w:t xml:space="preserve"> </w:t>
            </w:r>
            <w:r w:rsidR="005B1306" w:rsidRPr="0040469F">
              <w:t xml:space="preserve">the removal of the </w:t>
            </w:r>
            <w:r w:rsidR="00A63813" w:rsidRPr="0040469F">
              <w:t>FTR (on the basis that 35% is no longer viable),</w:t>
            </w:r>
            <w:r w:rsidR="005B1306" w:rsidRPr="0040469F">
              <w:t xml:space="preserve"> and </w:t>
            </w:r>
            <w:r w:rsidR="00A63813" w:rsidRPr="0040469F">
              <w:t xml:space="preserve">its replacement with </w:t>
            </w:r>
            <w:r w:rsidR="005B1306" w:rsidRPr="0040469F">
              <w:t xml:space="preserve">a streamlining of the viability assessed route, so that the maximum AH is delivered, even if that means it is </w:t>
            </w:r>
            <w:r w:rsidR="00B35DA5" w:rsidRPr="0040469F">
              <w:t>z</w:t>
            </w:r>
            <w:r w:rsidR="005B1306" w:rsidRPr="0040469F">
              <w:t>ero.</w:t>
            </w:r>
          </w:p>
          <w:p w14:paraId="197A9C72" w14:textId="5FC9A827" w:rsidR="009E0E07" w:rsidRPr="0040469F" w:rsidRDefault="009E0E07" w:rsidP="000E5E9C">
            <w:pPr>
              <w:spacing w:after="120"/>
            </w:pPr>
            <w:r w:rsidRPr="0040469F">
              <w:t xml:space="preserve">With respect to the prospect of additional grant funding, it will be vital that this properly feeds into </w:t>
            </w:r>
            <w:r w:rsidR="00842240" w:rsidRPr="0040469F">
              <w:t>viability considerations</w:t>
            </w:r>
            <w:r w:rsidR="001107D2" w:rsidRPr="0040469F">
              <w:t>.</w:t>
            </w:r>
            <w:r w:rsidR="00842240" w:rsidRPr="0040469F">
              <w:t xml:space="preserve"> POS </w:t>
            </w:r>
            <w:r w:rsidR="001107D2" w:rsidRPr="0040469F">
              <w:t xml:space="preserve">assumes that this will happen for schemes progressed under these new arrangements. For existing schemes with planning permission, POS </w:t>
            </w:r>
            <w:r w:rsidR="00842240" w:rsidRPr="0040469F">
              <w:t xml:space="preserve">suggests that </w:t>
            </w:r>
            <w:r w:rsidR="00976BAF" w:rsidRPr="0040469F">
              <w:t xml:space="preserve">if these are given grant this should trigger a review mechanism </w:t>
            </w:r>
            <w:r w:rsidR="00B936C5">
              <w:t xml:space="preserve">before implementation </w:t>
            </w:r>
            <w:r w:rsidR="00976BAF" w:rsidRPr="0040469F">
              <w:t xml:space="preserve">to make sure that grant unlocks </w:t>
            </w:r>
            <w:r w:rsidR="00B76FDE" w:rsidRPr="0040469F">
              <w:t xml:space="preserve">AH </w:t>
            </w:r>
            <w:r w:rsidR="00976BAF" w:rsidRPr="0040469F">
              <w:t>additionality rather than prop</w:t>
            </w:r>
            <w:r w:rsidR="00B936C5">
              <w:t>s</w:t>
            </w:r>
            <w:r w:rsidR="00976BAF" w:rsidRPr="0040469F">
              <w:t xml:space="preserve"> up or enhance</w:t>
            </w:r>
            <w:r w:rsidR="00B76FDE" w:rsidRPr="0040469F">
              <w:t>s</w:t>
            </w:r>
            <w:r w:rsidR="00976BAF" w:rsidRPr="0040469F">
              <w:t xml:space="preserve"> developer profit.</w:t>
            </w:r>
            <w:r w:rsidR="00842240" w:rsidRPr="0040469F">
              <w:t xml:space="preserve"> </w:t>
            </w:r>
          </w:p>
        </w:tc>
      </w:tr>
      <w:tr w:rsidR="00856ED2" w:rsidRPr="0040469F" w14:paraId="2D654E31" w14:textId="77777777" w:rsidTr="00455A82">
        <w:tc>
          <w:tcPr>
            <w:tcW w:w="5949" w:type="dxa"/>
          </w:tcPr>
          <w:p w14:paraId="4BB0DA09" w14:textId="3DCB7C2C" w:rsidR="00856ED2" w:rsidRPr="0040469F" w:rsidRDefault="00856ED2" w:rsidP="00856ED2">
            <w:pPr>
              <w:spacing w:after="120"/>
            </w:pPr>
            <w:r w:rsidRPr="0040469F">
              <w:lastRenderedPageBreak/>
              <w:t>5: Do you agree with the proposed eligibility criteria for the time limited planning route? The GLA welcomes any views on whether this will, and how this better can, help to achieve the objective of increasing housing supply and supporting early delivery whilst also maximising affordable housing provision in the short term.</w:t>
            </w:r>
          </w:p>
        </w:tc>
        <w:tc>
          <w:tcPr>
            <w:tcW w:w="9497" w:type="dxa"/>
          </w:tcPr>
          <w:p w14:paraId="5AA9566C" w14:textId="2A39B5ED" w:rsidR="00856ED2" w:rsidRPr="0040469F" w:rsidRDefault="004C788A" w:rsidP="00856ED2">
            <w:pPr>
              <w:spacing w:after="120"/>
            </w:pPr>
            <w:r w:rsidRPr="0040469F">
              <w:t>Notwithstanding our fundamental concerns and within the context of the proposed</w:t>
            </w:r>
            <w:r w:rsidR="007A5489" w:rsidRPr="0040469F">
              <w:t xml:space="preserve"> approach, POS agrees with the elig</w:t>
            </w:r>
            <w:r w:rsidR="0070028F" w:rsidRPr="0040469F">
              <w:t xml:space="preserve">ibility </w:t>
            </w:r>
            <w:r w:rsidR="002D775B" w:rsidRPr="0040469F">
              <w:t>criteria</w:t>
            </w:r>
            <w:r w:rsidR="0070028F" w:rsidRPr="0040469F">
              <w:t>.</w:t>
            </w:r>
          </w:p>
        </w:tc>
      </w:tr>
      <w:tr w:rsidR="00856ED2" w:rsidRPr="0040469F" w14:paraId="0AA93A3D" w14:textId="77777777" w:rsidTr="00455A82">
        <w:tc>
          <w:tcPr>
            <w:tcW w:w="5949" w:type="dxa"/>
          </w:tcPr>
          <w:p w14:paraId="2275894A" w14:textId="42677B6D" w:rsidR="00856ED2" w:rsidRPr="0040469F" w:rsidRDefault="00856ED2" w:rsidP="00856ED2">
            <w:pPr>
              <w:spacing w:after="120"/>
            </w:pPr>
            <w:r w:rsidRPr="0040469F">
              <w:t>6: Do you agree that the proposed approach to grant will help to achieve the objective of increasing housing supply and supporting early delivery, whilst also maximising affordable housing provision in the short term? To what extent will this help to support the acquisition of affordable homes secured through the planning process by Register Providers?</w:t>
            </w:r>
          </w:p>
        </w:tc>
        <w:tc>
          <w:tcPr>
            <w:tcW w:w="9497" w:type="dxa"/>
          </w:tcPr>
          <w:p w14:paraId="1220AD68" w14:textId="5F955B03" w:rsidR="00856ED2" w:rsidRPr="0040469F" w:rsidRDefault="00BA0573" w:rsidP="00856ED2">
            <w:pPr>
              <w:spacing w:after="120"/>
            </w:pPr>
            <w:r w:rsidRPr="0040469F">
              <w:t xml:space="preserve">See </w:t>
            </w:r>
            <w:r w:rsidR="003B2E83" w:rsidRPr="0040469F">
              <w:t xml:space="preserve">our </w:t>
            </w:r>
            <w:r w:rsidRPr="0040469F">
              <w:t>answer to question 4.</w:t>
            </w:r>
          </w:p>
        </w:tc>
      </w:tr>
      <w:tr w:rsidR="00856ED2" w:rsidRPr="0040469F" w14:paraId="2208B7C7" w14:textId="77777777" w:rsidTr="00455A82">
        <w:tc>
          <w:tcPr>
            <w:tcW w:w="5949" w:type="dxa"/>
          </w:tcPr>
          <w:p w14:paraId="192BE644" w14:textId="16F6DD77" w:rsidR="00856ED2" w:rsidRPr="0040469F" w:rsidRDefault="00856ED2" w:rsidP="00856ED2">
            <w:pPr>
              <w:spacing w:after="120"/>
            </w:pPr>
            <w:r w:rsidRPr="0040469F">
              <w:t xml:space="preserve">7: The GLA welcomes views on the approach to reviews under the time limited route, including whether any further criteria should be applied which would a) incentivise early delivery, or b) help to ensure that, if reviews are triggered, additional affordable housing contributions are provided </w:t>
            </w:r>
            <w:r w:rsidRPr="0040469F">
              <w:lastRenderedPageBreak/>
              <w:t>where viability improves over the lifetime of the development.</w:t>
            </w:r>
          </w:p>
        </w:tc>
        <w:tc>
          <w:tcPr>
            <w:tcW w:w="9497" w:type="dxa"/>
          </w:tcPr>
          <w:p w14:paraId="06B816FA" w14:textId="10CAA4A6" w:rsidR="00856ED2" w:rsidRDefault="00E10414" w:rsidP="00856ED2">
            <w:pPr>
              <w:spacing w:after="120"/>
            </w:pPr>
            <w:r w:rsidRPr="0040469F">
              <w:lastRenderedPageBreak/>
              <w:t xml:space="preserve">POS considers that this aspect </w:t>
            </w:r>
            <w:r w:rsidR="00A60E62" w:rsidRPr="0040469F">
              <w:t xml:space="preserve">of the policy </w:t>
            </w:r>
            <w:r w:rsidRPr="0040469F">
              <w:t xml:space="preserve">would be better expressed as, </w:t>
            </w:r>
            <w:r w:rsidR="00780708">
              <w:t>“</w:t>
            </w:r>
            <w:r w:rsidRPr="0040469F">
              <w:t xml:space="preserve">all schemes subject to </w:t>
            </w:r>
            <w:r w:rsidR="00A60E62" w:rsidRPr="0040469F">
              <w:t xml:space="preserve">the </w:t>
            </w:r>
            <w:r w:rsidR="00C45BAB" w:rsidRPr="0040469F">
              <w:t xml:space="preserve">new AH thresholds </w:t>
            </w:r>
            <w:r w:rsidR="00A60E62" w:rsidRPr="0040469F">
              <w:t xml:space="preserve">approach </w:t>
            </w:r>
            <w:r w:rsidR="00C45BAB" w:rsidRPr="0040469F">
              <w:t>will be subject to a late</w:t>
            </w:r>
            <w:r w:rsidR="00A60E62" w:rsidRPr="0040469F">
              <w:t>-</w:t>
            </w:r>
            <w:r w:rsidR="00C45BAB" w:rsidRPr="0040469F">
              <w:t xml:space="preserve">stage </w:t>
            </w:r>
            <w:r w:rsidR="00F97C8D" w:rsidRPr="0040469F">
              <w:t>review unless, …</w:t>
            </w:r>
            <w:r w:rsidR="00780708">
              <w:t>”</w:t>
            </w:r>
            <w:r w:rsidR="00F97C8D" w:rsidRPr="0040469F">
              <w:t xml:space="preserve"> </w:t>
            </w:r>
            <w:r w:rsidR="00CA1014" w:rsidRPr="0040469F">
              <w:t xml:space="preserve">and then set out the criteria that the developer </w:t>
            </w:r>
            <w:r w:rsidR="00D011BA" w:rsidRPr="0040469F">
              <w:t>must</w:t>
            </w:r>
            <w:r w:rsidR="00CA1014" w:rsidRPr="0040469F">
              <w:t xml:space="preserve"> demonstrate to establish that they are making good implementation progress.</w:t>
            </w:r>
            <w:r w:rsidR="00C316C4" w:rsidRPr="0040469F">
              <w:t xml:space="preserve"> A generic set of criteria should be contained in the </w:t>
            </w:r>
            <w:r w:rsidR="00DE2129" w:rsidRPr="0040469F">
              <w:t>policy,</w:t>
            </w:r>
            <w:r w:rsidR="00C316C4" w:rsidRPr="0040469F">
              <w:t xml:space="preserve"> but provision should be </w:t>
            </w:r>
            <w:r w:rsidR="00DE2129">
              <w:t>made</w:t>
            </w:r>
            <w:r w:rsidR="00C316C4" w:rsidRPr="0040469F">
              <w:t xml:space="preserve"> for it to be tailored to the needs/demands of a particular scheme</w:t>
            </w:r>
            <w:r w:rsidR="00E4648E">
              <w:t>.</w:t>
            </w:r>
          </w:p>
          <w:p w14:paraId="442D89B5" w14:textId="3710471C" w:rsidR="00E4648E" w:rsidRPr="0040469F" w:rsidRDefault="00E4648E" w:rsidP="00856ED2">
            <w:pPr>
              <w:spacing w:after="120"/>
            </w:pPr>
            <w:r>
              <w:lastRenderedPageBreak/>
              <w:t xml:space="preserve">There is a lot of noise from the development sector that review mechanisms in general </w:t>
            </w:r>
            <w:r w:rsidR="00B07F5F">
              <w:t xml:space="preserve">create funding difficulties and POS finds it hard to understand the reason </w:t>
            </w:r>
            <w:r w:rsidR="00BF7C10">
              <w:t>for</w:t>
            </w:r>
            <w:r w:rsidR="00B07F5F">
              <w:t xml:space="preserve"> this. A </w:t>
            </w:r>
            <w:r w:rsidR="00480C17">
              <w:t>review mechanism should operate on the principle that it is essentially taking the original viability appr</w:t>
            </w:r>
            <w:r w:rsidR="008E3473">
              <w:t xml:space="preserve">aisal and substituting actual costs and revenues (ie sales prices) for the assumed figures in the </w:t>
            </w:r>
            <w:r w:rsidR="0012046B">
              <w:t xml:space="preserve">original </w:t>
            </w:r>
            <w:r w:rsidR="00BF7C10">
              <w:t>appraisal</w:t>
            </w:r>
            <w:r w:rsidR="0012046B">
              <w:t xml:space="preserve">. Therefore </w:t>
            </w:r>
            <w:r w:rsidR="009743DE">
              <w:t>with such an approach</w:t>
            </w:r>
            <w:r w:rsidR="00BF7C10">
              <w:t>,</w:t>
            </w:r>
            <w:r w:rsidR="009743DE">
              <w:t xml:space="preserve"> </w:t>
            </w:r>
            <w:r w:rsidR="0012046B">
              <w:t xml:space="preserve">all profits (including the developer’s risk profit of around 20%) </w:t>
            </w:r>
            <w:r w:rsidR="009743DE">
              <w:t xml:space="preserve">are achieved and it is only profits above those levels that are captured by a review mechanism and that figure is generally shared between the developer and the LPA. </w:t>
            </w:r>
            <w:r w:rsidR="00FB76CF">
              <w:t xml:space="preserve">If this approach causes funding </w:t>
            </w:r>
            <w:r w:rsidR="00471EBA">
              <w:t>difficulties,</w:t>
            </w:r>
            <w:r w:rsidR="00FB76CF">
              <w:t xml:space="preserve"> then those funders are essentially </w:t>
            </w:r>
            <w:r w:rsidR="00471EBA">
              <w:t xml:space="preserve">seeking </w:t>
            </w:r>
            <w:r w:rsidR="00FB76CF">
              <w:t>super profits</w:t>
            </w:r>
            <w:r w:rsidR="00471EBA">
              <w:t xml:space="preserve"> from the delivery of housing</w:t>
            </w:r>
            <w:r w:rsidR="00FB76CF">
              <w:t xml:space="preserve"> and </w:t>
            </w:r>
            <w:r w:rsidR="00BB0E42">
              <w:t xml:space="preserve">POS would urge government to call them out for what they are and not let such </w:t>
            </w:r>
            <w:r w:rsidR="006540D2">
              <w:t xml:space="preserve">questionable </w:t>
            </w:r>
            <w:r w:rsidR="00BB0E42">
              <w:t>motivations cloud public policy.</w:t>
            </w:r>
          </w:p>
        </w:tc>
      </w:tr>
      <w:tr w:rsidR="00856ED2" w:rsidRPr="0040469F" w14:paraId="77384F54" w14:textId="77777777" w:rsidTr="00455A82">
        <w:tc>
          <w:tcPr>
            <w:tcW w:w="5949" w:type="dxa"/>
          </w:tcPr>
          <w:p w14:paraId="72F73018" w14:textId="179AE20B" w:rsidR="00856ED2" w:rsidRPr="0040469F" w:rsidRDefault="00856ED2" w:rsidP="00856ED2">
            <w:pPr>
              <w:spacing w:after="120"/>
            </w:pPr>
            <w:r w:rsidRPr="0040469F">
              <w:lastRenderedPageBreak/>
              <w:t>8: Recognising that the substantial implementation milestone of the first floor set out in 4.6.1 may not be appropriate in all instances, are there any circumstances in which an alternative review milestone to completion of the first floor would be necessary and justified, in a way that continues to incentivise fast build out?</w:t>
            </w:r>
          </w:p>
        </w:tc>
        <w:tc>
          <w:tcPr>
            <w:tcW w:w="9497" w:type="dxa"/>
          </w:tcPr>
          <w:p w14:paraId="0FFCFB10" w14:textId="13E9C244" w:rsidR="00856ED2" w:rsidRPr="0040469F" w:rsidRDefault="00393F22" w:rsidP="00856ED2">
            <w:pPr>
              <w:spacing w:after="120"/>
            </w:pPr>
            <w:r w:rsidRPr="0040469F">
              <w:t>See our answer</w:t>
            </w:r>
            <w:r w:rsidR="003B2E83" w:rsidRPr="0040469F">
              <w:t xml:space="preserve"> to question 7</w:t>
            </w:r>
            <w:r w:rsidRPr="0040469F">
              <w:t>.</w:t>
            </w:r>
          </w:p>
        </w:tc>
      </w:tr>
      <w:tr w:rsidR="003B2E83" w:rsidRPr="0040469F" w14:paraId="1365CAB9" w14:textId="77777777" w:rsidTr="00455A82">
        <w:tc>
          <w:tcPr>
            <w:tcW w:w="5949" w:type="dxa"/>
          </w:tcPr>
          <w:p w14:paraId="65C3E81A" w14:textId="3FA15AE3" w:rsidR="003B2E83" w:rsidRPr="0040469F" w:rsidRDefault="003B2E83" w:rsidP="003B2E83">
            <w:pPr>
              <w:spacing w:after="120"/>
            </w:pPr>
            <w:r w:rsidRPr="0040469F">
              <w:t>9: An alternative approach for phased schemes would be for boroughs, and the Mayor for referable applications, to have discretion to agree forward dates and milestones for future phases if it would support the faster build out of the scheme, which if met mean that no review is required for that phase. Do you agree with this and what measures would be required to ensure that this resulted in faster build out than may otherwise be the case?</w:t>
            </w:r>
          </w:p>
        </w:tc>
        <w:tc>
          <w:tcPr>
            <w:tcW w:w="9497" w:type="dxa"/>
          </w:tcPr>
          <w:p w14:paraId="27AC2DCD" w14:textId="6D1DF77E" w:rsidR="003B2E83" w:rsidRPr="0040469F" w:rsidRDefault="003B2E83" w:rsidP="003B2E83">
            <w:pPr>
              <w:spacing w:after="120"/>
            </w:pPr>
            <w:r w:rsidRPr="0040469F">
              <w:t>See our answer to question 7.</w:t>
            </w:r>
          </w:p>
        </w:tc>
      </w:tr>
      <w:tr w:rsidR="003B2E83" w:rsidRPr="0040469F" w14:paraId="6621DDC3" w14:textId="77777777" w:rsidTr="00455A82">
        <w:tc>
          <w:tcPr>
            <w:tcW w:w="5949" w:type="dxa"/>
          </w:tcPr>
          <w:p w14:paraId="6F450BF5" w14:textId="12370128" w:rsidR="003B2E83" w:rsidRPr="0040469F" w:rsidRDefault="003B2E83" w:rsidP="003B2E83">
            <w:pPr>
              <w:spacing w:after="120"/>
            </w:pPr>
            <w:r w:rsidRPr="0040469F">
              <w:t>10: The GLA welcomes views on any additional measures that would support the delivery of schemes with existing planning consents which provide 35 per cent or more affordable housing. Do you agree that the time limited planning route would support schemes which have been granted planning consent but are currently stalled?</w:t>
            </w:r>
          </w:p>
        </w:tc>
        <w:tc>
          <w:tcPr>
            <w:tcW w:w="9497" w:type="dxa"/>
          </w:tcPr>
          <w:p w14:paraId="46E8A57F" w14:textId="15EBEDE5" w:rsidR="003B2E83" w:rsidRPr="0040469F" w:rsidRDefault="003B2E83" w:rsidP="003B2E83">
            <w:pPr>
              <w:spacing w:after="120"/>
            </w:pPr>
            <w:r w:rsidRPr="0040469F">
              <w:t xml:space="preserve">See our comments in question 4 with respect to our recommended approach to viability </w:t>
            </w:r>
            <w:r w:rsidR="009E0000" w:rsidRPr="0040469F">
              <w:t>appraisal</w:t>
            </w:r>
            <w:r w:rsidRPr="0040469F">
              <w:t>.</w:t>
            </w:r>
          </w:p>
        </w:tc>
      </w:tr>
      <w:tr w:rsidR="003B2E83" w:rsidRPr="0040469F" w14:paraId="346C1779" w14:textId="77777777" w:rsidTr="00455A82">
        <w:tc>
          <w:tcPr>
            <w:tcW w:w="5949" w:type="dxa"/>
          </w:tcPr>
          <w:p w14:paraId="287DED39" w14:textId="63340856" w:rsidR="003B2E83" w:rsidRPr="0040469F" w:rsidRDefault="003B2E83" w:rsidP="003B2E83">
            <w:pPr>
              <w:spacing w:after="120"/>
            </w:pPr>
            <w:r w:rsidRPr="0040469F">
              <w:t>11: Are there any further measures that would help to prevent the level of affordable housing being reduced in consented schemes where this is not needed to enable the development to progress?</w:t>
            </w:r>
          </w:p>
        </w:tc>
        <w:tc>
          <w:tcPr>
            <w:tcW w:w="9497" w:type="dxa"/>
          </w:tcPr>
          <w:p w14:paraId="2DDAD15B" w14:textId="77777777" w:rsidR="003B2E83" w:rsidRPr="0040469F" w:rsidRDefault="003B2E83" w:rsidP="003B2E83">
            <w:pPr>
              <w:spacing w:after="120"/>
            </w:pPr>
            <w:r w:rsidRPr="0040469F">
              <w:t>See our comments in question 4 with respect to grant for consented schemes.</w:t>
            </w:r>
          </w:p>
          <w:p w14:paraId="6C36C5F8" w14:textId="6361E2B3" w:rsidR="00207A52" w:rsidRPr="0040469F" w:rsidRDefault="009E0000" w:rsidP="003B2E83">
            <w:pPr>
              <w:spacing w:after="120"/>
            </w:pPr>
            <w:r w:rsidRPr="0040469F">
              <w:t xml:space="preserve">POS considers that </w:t>
            </w:r>
            <w:r w:rsidR="006A26E9" w:rsidRPr="0040469F">
              <w:t xml:space="preserve">it is important to consider how best AH policies could be developed in the next iteration of the London Plan. </w:t>
            </w:r>
            <w:r w:rsidR="00C03289" w:rsidRPr="0040469F">
              <w:t>Whilst the 35% FT policy succeeded</w:t>
            </w:r>
            <w:r w:rsidR="00E611A9" w:rsidRPr="0040469F">
              <w:t xml:space="preserve"> to </w:t>
            </w:r>
            <w:r w:rsidR="00CA6577">
              <w:t>a large</w:t>
            </w:r>
            <w:r w:rsidR="00E611A9" w:rsidRPr="0040469F">
              <w:t xml:space="preserve"> degree</w:t>
            </w:r>
            <w:r w:rsidR="00C03289" w:rsidRPr="0040469F">
              <w:t xml:space="preserve">, it was an inflexible policy and </w:t>
            </w:r>
            <w:r w:rsidR="00E611A9" w:rsidRPr="0040469F">
              <w:t>where economic circumstances were favourable probably resulted in an under delivery of AH and, as now, where</w:t>
            </w:r>
            <w:r w:rsidR="00207A52" w:rsidRPr="0040469F">
              <w:t xml:space="preserve"> economic circumstances are unfavourable, puts pressure on its abandonment or arbitrary </w:t>
            </w:r>
            <w:r w:rsidR="00EE08FF" w:rsidRPr="0040469F">
              <w:t>amendment.</w:t>
            </w:r>
          </w:p>
          <w:p w14:paraId="6C6D6594" w14:textId="38BE6139" w:rsidR="00EE08FF" w:rsidRPr="0040469F" w:rsidRDefault="00EE08FF" w:rsidP="003B2E83">
            <w:pPr>
              <w:spacing w:after="120"/>
            </w:pPr>
            <w:r w:rsidRPr="0040469F">
              <w:t xml:space="preserve">POS considers that it is possible to have a FT </w:t>
            </w:r>
            <w:r w:rsidR="00C477DC" w:rsidRPr="0040469F">
              <w:t xml:space="preserve">AH </w:t>
            </w:r>
            <w:r w:rsidRPr="0040469F">
              <w:t xml:space="preserve">policy that is flexible and responsive to the market. </w:t>
            </w:r>
            <w:r w:rsidR="00C477DC" w:rsidRPr="0040469F">
              <w:t>We recommend</w:t>
            </w:r>
            <w:r w:rsidR="008542C6" w:rsidRPr="0040469F">
              <w:t xml:space="preserve"> a </w:t>
            </w:r>
            <w:r w:rsidR="002A6958" w:rsidRPr="0040469F">
              <w:t xml:space="preserve">Dynamic Viability Model where the FT AH % is </w:t>
            </w:r>
            <w:r w:rsidR="0065286B" w:rsidRPr="0040469F">
              <w:t>re</w:t>
            </w:r>
            <w:r w:rsidR="002A6958" w:rsidRPr="0040469F">
              <w:t xml:space="preserve">set annually using </w:t>
            </w:r>
            <w:r w:rsidR="002F135E">
              <w:t xml:space="preserve">the following </w:t>
            </w:r>
            <w:r w:rsidR="00AF5911" w:rsidRPr="0040469F">
              <w:t xml:space="preserve">published </w:t>
            </w:r>
            <w:r w:rsidR="002A6958" w:rsidRPr="0040469F">
              <w:t>market data:</w:t>
            </w:r>
          </w:p>
          <w:p w14:paraId="524D2BD6" w14:textId="7F0A860B" w:rsidR="002A6958" w:rsidRPr="0040469F" w:rsidRDefault="00BA6FBA" w:rsidP="007C108F">
            <w:pPr>
              <w:pStyle w:val="ListParagraph"/>
              <w:numPr>
                <w:ilvl w:val="0"/>
                <w:numId w:val="37"/>
              </w:numPr>
              <w:spacing w:after="120"/>
              <w:ind w:left="310" w:hanging="310"/>
            </w:pPr>
            <w:r w:rsidRPr="0040469F">
              <w:lastRenderedPageBreak/>
              <w:t>Change in</w:t>
            </w:r>
            <w:r w:rsidR="00B662BF" w:rsidRPr="0040469F">
              <w:t xml:space="preserve"> </w:t>
            </w:r>
            <w:r w:rsidR="0065286B" w:rsidRPr="0040469F">
              <w:t>house</w:t>
            </w:r>
            <w:r w:rsidR="00B662BF" w:rsidRPr="0040469F">
              <w:t xml:space="preserve"> </w:t>
            </w:r>
            <w:r w:rsidRPr="0040469F">
              <w:t xml:space="preserve">prices </w:t>
            </w:r>
            <w:r w:rsidR="00B662BF" w:rsidRPr="0040469F">
              <w:t>(House Price Index</w:t>
            </w:r>
            <w:r w:rsidR="008C65F9">
              <w:t xml:space="preserve"> - </w:t>
            </w:r>
            <w:r w:rsidR="008C65F9" w:rsidRPr="008C65F9">
              <w:t>landregistry.data.gov.uk/app/</w:t>
            </w:r>
            <w:proofErr w:type="spellStart"/>
            <w:r w:rsidR="008C65F9" w:rsidRPr="008C65F9">
              <w:t>ukhpi</w:t>
            </w:r>
            <w:proofErr w:type="spellEnd"/>
            <w:r w:rsidR="008C65F9" w:rsidRPr="008C65F9">
              <w:t>/</w:t>
            </w:r>
            <w:r w:rsidR="00B662BF" w:rsidRPr="0040469F">
              <w:t>)</w:t>
            </w:r>
          </w:p>
          <w:p w14:paraId="075B7C04" w14:textId="7B06F0E2" w:rsidR="002B006C" w:rsidRPr="0040469F" w:rsidRDefault="002B006C" w:rsidP="007C108F">
            <w:pPr>
              <w:pStyle w:val="ListParagraph"/>
              <w:numPr>
                <w:ilvl w:val="0"/>
                <w:numId w:val="37"/>
              </w:numPr>
              <w:spacing w:after="120"/>
              <w:ind w:left="310" w:hanging="310"/>
            </w:pPr>
            <w:r w:rsidRPr="0040469F">
              <w:t>Change in construction costs (BCIS Index</w:t>
            </w:r>
            <w:r w:rsidR="003A4D3E">
              <w:t xml:space="preserve"> – BCIS.co.uk</w:t>
            </w:r>
            <w:r w:rsidR="005F2F06" w:rsidRPr="0040469F">
              <w:t>)</w:t>
            </w:r>
          </w:p>
          <w:p w14:paraId="02027C6D" w14:textId="01C4A484" w:rsidR="007C108F" w:rsidRPr="0040469F" w:rsidRDefault="00BA6FBA" w:rsidP="002B006C">
            <w:pPr>
              <w:spacing w:after="120"/>
            </w:pPr>
            <w:r w:rsidRPr="0040469F">
              <w:t xml:space="preserve">The movement of these two key indicators in the previous </w:t>
            </w:r>
            <w:r w:rsidR="00AF5911" w:rsidRPr="0040469F">
              <w:t>12-month</w:t>
            </w:r>
            <w:r w:rsidRPr="0040469F">
              <w:t xml:space="preserve"> period can be used to assess </w:t>
            </w:r>
            <w:r w:rsidR="003B1B90" w:rsidRPr="0040469F">
              <w:t xml:space="preserve">changes in viability and </w:t>
            </w:r>
            <w:r w:rsidR="009E54C8" w:rsidRPr="0040469F">
              <w:t xml:space="preserve">thereby </w:t>
            </w:r>
            <w:r w:rsidR="003B1B90" w:rsidRPr="0040469F">
              <w:t>reset the</w:t>
            </w:r>
            <w:r w:rsidRPr="0040469F">
              <w:t xml:space="preserve"> </w:t>
            </w:r>
            <w:r w:rsidR="003B1B90" w:rsidRPr="0040469F">
              <w:t xml:space="preserve">FT AH % </w:t>
            </w:r>
            <w:r w:rsidR="009E54C8" w:rsidRPr="0040469F">
              <w:t>so that it remains responsive to market</w:t>
            </w:r>
            <w:r w:rsidR="002946B9" w:rsidRPr="0040469F">
              <w:t xml:space="preserve"> conditions</w:t>
            </w:r>
            <w:r w:rsidR="003B1B90" w:rsidRPr="0040469F">
              <w:t>.</w:t>
            </w:r>
          </w:p>
        </w:tc>
      </w:tr>
      <w:tr w:rsidR="003B2E83" w:rsidRPr="0040469F" w14:paraId="5B0D80FA" w14:textId="77777777" w:rsidTr="00455A82">
        <w:tc>
          <w:tcPr>
            <w:tcW w:w="5949" w:type="dxa"/>
          </w:tcPr>
          <w:p w14:paraId="590F75CB" w14:textId="77777777" w:rsidR="003B2E83" w:rsidRPr="0040469F" w:rsidRDefault="003B2E83" w:rsidP="003B2E83">
            <w:pPr>
              <w:spacing w:after="120"/>
            </w:pPr>
            <w:r w:rsidRPr="0040469F">
              <w:lastRenderedPageBreak/>
              <w:t xml:space="preserve">EqIA question: Do you consider that any of the proposed changes set out within the SHLPG could result in additional positive or negative impacts on those with protected characteristics to those already identified? If yes, please specify which change would have the impact and which group may be affected? Resulting from the draft guidance that could affect those with protected characteristics. </w:t>
            </w:r>
          </w:p>
          <w:p w14:paraId="38A4C7AF" w14:textId="3282A562" w:rsidR="003B2E83" w:rsidRPr="0040469F" w:rsidRDefault="003B2E83" w:rsidP="003B2E83">
            <w:pPr>
              <w:spacing w:after="120"/>
            </w:pPr>
            <w:r w:rsidRPr="0040469F">
              <w:t>Do you have any additional comments on this EqIA that accompanies the SHLPG draft guidance?</w:t>
            </w:r>
          </w:p>
        </w:tc>
        <w:tc>
          <w:tcPr>
            <w:tcW w:w="9497" w:type="dxa"/>
          </w:tcPr>
          <w:p w14:paraId="248D47F0" w14:textId="250D1040" w:rsidR="003B2E83" w:rsidRPr="0040469F" w:rsidRDefault="003B2E83" w:rsidP="003B2E83">
            <w:pPr>
              <w:spacing w:after="120"/>
            </w:pPr>
            <w:r w:rsidRPr="0040469F">
              <w:t>No further comments.</w:t>
            </w:r>
          </w:p>
        </w:tc>
      </w:tr>
    </w:tbl>
    <w:p w14:paraId="170EEF8F" w14:textId="77777777" w:rsidR="00856ED2" w:rsidRPr="00E9712E" w:rsidRDefault="00856ED2" w:rsidP="00CE45D7">
      <w:pPr>
        <w:rPr>
          <w:sz w:val="8"/>
          <w:szCs w:val="8"/>
        </w:rPr>
      </w:pPr>
    </w:p>
    <w:sectPr w:rsidR="00856ED2" w:rsidRPr="00E9712E" w:rsidSect="001B7063">
      <w:pgSz w:w="16838" w:h="11906" w:orient="landscape" w:code="9"/>
      <w:pgMar w:top="720" w:right="720" w:bottom="720" w:left="720" w:header="851"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E2CE" w14:textId="77777777" w:rsidR="00D0136E" w:rsidRDefault="00D0136E" w:rsidP="00A3661A">
      <w:r>
        <w:separator/>
      </w:r>
    </w:p>
  </w:endnote>
  <w:endnote w:type="continuationSeparator" w:id="0">
    <w:p w14:paraId="17706F1E" w14:textId="77777777" w:rsidR="00D0136E" w:rsidRDefault="00D0136E"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C26B" w14:textId="77777777" w:rsidR="00D0136E" w:rsidRDefault="00D0136E" w:rsidP="00A3661A">
      <w:r>
        <w:separator/>
      </w:r>
    </w:p>
  </w:footnote>
  <w:footnote w:type="continuationSeparator" w:id="0">
    <w:p w14:paraId="32B87D87" w14:textId="77777777" w:rsidR="00D0136E" w:rsidRDefault="00D0136E" w:rsidP="00A36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9AF35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7F64F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C46B9"/>
    <w:multiLevelType w:val="hybridMultilevel"/>
    <w:tmpl w:val="DFCAC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14D59"/>
    <w:multiLevelType w:val="multilevel"/>
    <w:tmpl w:val="2E7E1A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5" w15:restartNumberingAfterBreak="0">
    <w:nsid w:val="56E00A1C"/>
    <w:multiLevelType w:val="multilevel"/>
    <w:tmpl w:val="57E45338"/>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3F10BA"/>
    <w:multiLevelType w:val="multilevel"/>
    <w:tmpl w:val="2ECA608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5EA0E32"/>
    <w:multiLevelType w:val="hybridMultilevel"/>
    <w:tmpl w:val="B338D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num w:numId="1" w16cid:durableId="1165629198">
    <w:abstractNumId w:val="5"/>
  </w:num>
  <w:num w:numId="2" w16cid:durableId="1150975494">
    <w:abstractNumId w:val="5"/>
  </w:num>
  <w:num w:numId="3" w16cid:durableId="994260663">
    <w:abstractNumId w:val="1"/>
  </w:num>
  <w:num w:numId="4" w16cid:durableId="1448890633">
    <w:abstractNumId w:val="4"/>
  </w:num>
  <w:num w:numId="5" w16cid:durableId="229389940">
    <w:abstractNumId w:val="9"/>
  </w:num>
  <w:num w:numId="6" w16cid:durableId="401611093">
    <w:abstractNumId w:val="6"/>
  </w:num>
  <w:num w:numId="7" w16cid:durableId="596329632">
    <w:abstractNumId w:val="0"/>
  </w:num>
  <w:num w:numId="8" w16cid:durableId="1490439248">
    <w:abstractNumId w:val="5"/>
  </w:num>
  <w:num w:numId="9" w16cid:durableId="1591351008">
    <w:abstractNumId w:val="5"/>
  </w:num>
  <w:num w:numId="10" w16cid:durableId="1517497375">
    <w:abstractNumId w:val="5"/>
  </w:num>
  <w:num w:numId="11" w16cid:durableId="208615366">
    <w:abstractNumId w:val="5"/>
  </w:num>
  <w:num w:numId="12" w16cid:durableId="1270048063">
    <w:abstractNumId w:val="5"/>
  </w:num>
  <w:num w:numId="13" w16cid:durableId="22557919">
    <w:abstractNumId w:val="5"/>
  </w:num>
  <w:num w:numId="14" w16cid:durableId="291836552">
    <w:abstractNumId w:val="5"/>
  </w:num>
  <w:num w:numId="15" w16cid:durableId="1040280102">
    <w:abstractNumId w:val="5"/>
  </w:num>
  <w:num w:numId="16" w16cid:durableId="212160352">
    <w:abstractNumId w:val="5"/>
  </w:num>
  <w:num w:numId="17" w16cid:durableId="339311173">
    <w:abstractNumId w:val="5"/>
  </w:num>
  <w:num w:numId="18" w16cid:durableId="573441913">
    <w:abstractNumId w:val="5"/>
  </w:num>
  <w:num w:numId="19" w16cid:durableId="1573588588">
    <w:abstractNumId w:val="5"/>
  </w:num>
  <w:num w:numId="20" w16cid:durableId="1590388854">
    <w:abstractNumId w:val="5"/>
  </w:num>
  <w:num w:numId="21" w16cid:durableId="802651404">
    <w:abstractNumId w:val="5"/>
  </w:num>
  <w:num w:numId="22" w16cid:durableId="1745255739">
    <w:abstractNumId w:val="5"/>
  </w:num>
  <w:num w:numId="23" w16cid:durableId="1377000775">
    <w:abstractNumId w:val="3"/>
  </w:num>
  <w:num w:numId="24" w16cid:durableId="1139344054">
    <w:abstractNumId w:val="2"/>
  </w:num>
  <w:num w:numId="25" w16cid:durableId="862668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0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916598">
    <w:abstractNumId w:val="9"/>
  </w:num>
  <w:num w:numId="28" w16cid:durableId="682779616">
    <w:abstractNumId w:val="9"/>
  </w:num>
  <w:num w:numId="29" w16cid:durableId="896090766">
    <w:abstractNumId w:val="9"/>
  </w:num>
  <w:num w:numId="30" w16cid:durableId="1330595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9074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690559">
    <w:abstractNumId w:val="9"/>
  </w:num>
  <w:num w:numId="33" w16cid:durableId="115174953">
    <w:abstractNumId w:val="9"/>
  </w:num>
  <w:num w:numId="34" w16cid:durableId="1929847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766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3205362">
    <w:abstractNumId w:val="8"/>
  </w:num>
  <w:num w:numId="37" w16cid:durableId="2044942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BE"/>
    <w:rsid w:val="000051F5"/>
    <w:rsid w:val="000362EA"/>
    <w:rsid w:val="00040BC8"/>
    <w:rsid w:val="00095F41"/>
    <w:rsid w:val="000A4FE1"/>
    <w:rsid w:val="000A5876"/>
    <w:rsid w:val="000D7458"/>
    <w:rsid w:val="000E5E9C"/>
    <w:rsid w:val="000E720E"/>
    <w:rsid w:val="001107D2"/>
    <w:rsid w:val="001145DC"/>
    <w:rsid w:val="001176ED"/>
    <w:rsid w:val="0012046B"/>
    <w:rsid w:val="001227C1"/>
    <w:rsid w:val="001338E3"/>
    <w:rsid w:val="00134957"/>
    <w:rsid w:val="00141523"/>
    <w:rsid w:val="001417BF"/>
    <w:rsid w:val="00146A6C"/>
    <w:rsid w:val="00175F9D"/>
    <w:rsid w:val="0017758A"/>
    <w:rsid w:val="00181CC1"/>
    <w:rsid w:val="00181CFA"/>
    <w:rsid w:val="001A0103"/>
    <w:rsid w:val="001A2161"/>
    <w:rsid w:val="001A56D9"/>
    <w:rsid w:val="001B23A2"/>
    <w:rsid w:val="001B7063"/>
    <w:rsid w:val="001C296F"/>
    <w:rsid w:val="001C5B55"/>
    <w:rsid w:val="001D5FE0"/>
    <w:rsid w:val="001E1A34"/>
    <w:rsid w:val="001E266C"/>
    <w:rsid w:val="001F445B"/>
    <w:rsid w:val="001F6225"/>
    <w:rsid w:val="002035FD"/>
    <w:rsid w:val="00207A52"/>
    <w:rsid w:val="0021102B"/>
    <w:rsid w:val="00227B95"/>
    <w:rsid w:val="00230056"/>
    <w:rsid w:val="002344B3"/>
    <w:rsid w:val="00243BB0"/>
    <w:rsid w:val="002649E5"/>
    <w:rsid w:val="0028767B"/>
    <w:rsid w:val="00291C7B"/>
    <w:rsid w:val="002946B9"/>
    <w:rsid w:val="002A2270"/>
    <w:rsid w:val="002A4013"/>
    <w:rsid w:val="002A4734"/>
    <w:rsid w:val="002A6958"/>
    <w:rsid w:val="002A72BF"/>
    <w:rsid w:val="002B006C"/>
    <w:rsid w:val="002B2AF4"/>
    <w:rsid w:val="002B5D60"/>
    <w:rsid w:val="002B6F56"/>
    <w:rsid w:val="002D3895"/>
    <w:rsid w:val="002D775B"/>
    <w:rsid w:val="002F135E"/>
    <w:rsid w:val="00304149"/>
    <w:rsid w:val="00316BB7"/>
    <w:rsid w:val="003209E3"/>
    <w:rsid w:val="00322D5A"/>
    <w:rsid w:val="003325CA"/>
    <w:rsid w:val="003408B2"/>
    <w:rsid w:val="003442C8"/>
    <w:rsid w:val="00361B25"/>
    <w:rsid w:val="003664C4"/>
    <w:rsid w:val="00366D83"/>
    <w:rsid w:val="0037674C"/>
    <w:rsid w:val="00380F36"/>
    <w:rsid w:val="0038413F"/>
    <w:rsid w:val="00393F22"/>
    <w:rsid w:val="00397D2B"/>
    <w:rsid w:val="003A034A"/>
    <w:rsid w:val="003A4D3E"/>
    <w:rsid w:val="003B1B90"/>
    <w:rsid w:val="003B2E83"/>
    <w:rsid w:val="003B6355"/>
    <w:rsid w:val="003E6699"/>
    <w:rsid w:val="003E6ABB"/>
    <w:rsid w:val="003F76A6"/>
    <w:rsid w:val="00402D2D"/>
    <w:rsid w:val="0040469F"/>
    <w:rsid w:val="00405160"/>
    <w:rsid w:val="00450A23"/>
    <w:rsid w:val="00450B5F"/>
    <w:rsid w:val="00455A82"/>
    <w:rsid w:val="00457880"/>
    <w:rsid w:val="004641CC"/>
    <w:rsid w:val="00466898"/>
    <w:rsid w:val="00471EBA"/>
    <w:rsid w:val="00480C17"/>
    <w:rsid w:val="00481E2D"/>
    <w:rsid w:val="004C08B8"/>
    <w:rsid w:val="004C630C"/>
    <w:rsid w:val="004C788A"/>
    <w:rsid w:val="004E7A1F"/>
    <w:rsid w:val="004F2539"/>
    <w:rsid w:val="00502543"/>
    <w:rsid w:val="00532B57"/>
    <w:rsid w:val="005421DB"/>
    <w:rsid w:val="00544A7C"/>
    <w:rsid w:val="00557D91"/>
    <w:rsid w:val="00571E80"/>
    <w:rsid w:val="0057649C"/>
    <w:rsid w:val="00577AB3"/>
    <w:rsid w:val="005849AF"/>
    <w:rsid w:val="00595EDE"/>
    <w:rsid w:val="005976E1"/>
    <w:rsid w:val="005B1306"/>
    <w:rsid w:val="005B4E73"/>
    <w:rsid w:val="005D354C"/>
    <w:rsid w:val="005E3DBD"/>
    <w:rsid w:val="005E7932"/>
    <w:rsid w:val="005F253E"/>
    <w:rsid w:val="005F25AB"/>
    <w:rsid w:val="005F2F06"/>
    <w:rsid w:val="005F7D7E"/>
    <w:rsid w:val="00612ADF"/>
    <w:rsid w:val="006174D1"/>
    <w:rsid w:val="00620FFF"/>
    <w:rsid w:val="0065286B"/>
    <w:rsid w:val="006540D2"/>
    <w:rsid w:val="00662E5B"/>
    <w:rsid w:val="00665393"/>
    <w:rsid w:val="00680ABE"/>
    <w:rsid w:val="00686BBA"/>
    <w:rsid w:val="00694AA6"/>
    <w:rsid w:val="00694F65"/>
    <w:rsid w:val="00695B02"/>
    <w:rsid w:val="00697E2D"/>
    <w:rsid w:val="006A26E9"/>
    <w:rsid w:val="006B7719"/>
    <w:rsid w:val="006E6449"/>
    <w:rsid w:val="006F73E7"/>
    <w:rsid w:val="0070028F"/>
    <w:rsid w:val="00702536"/>
    <w:rsid w:val="00710FCC"/>
    <w:rsid w:val="0071318B"/>
    <w:rsid w:val="00713289"/>
    <w:rsid w:val="00715FAA"/>
    <w:rsid w:val="00732C29"/>
    <w:rsid w:val="00744F05"/>
    <w:rsid w:val="00761115"/>
    <w:rsid w:val="00767307"/>
    <w:rsid w:val="00772243"/>
    <w:rsid w:val="00780708"/>
    <w:rsid w:val="007868FE"/>
    <w:rsid w:val="00786F5B"/>
    <w:rsid w:val="00792CA7"/>
    <w:rsid w:val="007A1A9D"/>
    <w:rsid w:val="007A5489"/>
    <w:rsid w:val="007B57FB"/>
    <w:rsid w:val="007B7D63"/>
    <w:rsid w:val="007C108F"/>
    <w:rsid w:val="00817E02"/>
    <w:rsid w:val="008264C1"/>
    <w:rsid w:val="00834907"/>
    <w:rsid w:val="00842240"/>
    <w:rsid w:val="008542C6"/>
    <w:rsid w:val="00856ED2"/>
    <w:rsid w:val="00866BB4"/>
    <w:rsid w:val="0088663C"/>
    <w:rsid w:val="00893FCB"/>
    <w:rsid w:val="008A67DD"/>
    <w:rsid w:val="008C4B88"/>
    <w:rsid w:val="008C65F9"/>
    <w:rsid w:val="008E3473"/>
    <w:rsid w:val="00914874"/>
    <w:rsid w:val="009226AF"/>
    <w:rsid w:val="00934820"/>
    <w:rsid w:val="00942692"/>
    <w:rsid w:val="00944805"/>
    <w:rsid w:val="0094747C"/>
    <w:rsid w:val="009639B6"/>
    <w:rsid w:val="009743DE"/>
    <w:rsid w:val="00976BAF"/>
    <w:rsid w:val="0098680E"/>
    <w:rsid w:val="00993CA1"/>
    <w:rsid w:val="00996D2B"/>
    <w:rsid w:val="009A1667"/>
    <w:rsid w:val="009A17F6"/>
    <w:rsid w:val="009C79BE"/>
    <w:rsid w:val="009D514B"/>
    <w:rsid w:val="009E0000"/>
    <w:rsid w:val="009E0E07"/>
    <w:rsid w:val="009E10F1"/>
    <w:rsid w:val="009E3B6E"/>
    <w:rsid w:val="009E54C8"/>
    <w:rsid w:val="009F3B9E"/>
    <w:rsid w:val="009F56DE"/>
    <w:rsid w:val="00A03764"/>
    <w:rsid w:val="00A221B4"/>
    <w:rsid w:val="00A3661A"/>
    <w:rsid w:val="00A42BCD"/>
    <w:rsid w:val="00A521F7"/>
    <w:rsid w:val="00A55F91"/>
    <w:rsid w:val="00A60E62"/>
    <w:rsid w:val="00A63813"/>
    <w:rsid w:val="00A93AE6"/>
    <w:rsid w:val="00A97538"/>
    <w:rsid w:val="00AA687E"/>
    <w:rsid w:val="00AC154C"/>
    <w:rsid w:val="00AC31B4"/>
    <w:rsid w:val="00AC390C"/>
    <w:rsid w:val="00AD77BC"/>
    <w:rsid w:val="00AF5911"/>
    <w:rsid w:val="00B07F5F"/>
    <w:rsid w:val="00B35DA5"/>
    <w:rsid w:val="00B45709"/>
    <w:rsid w:val="00B57069"/>
    <w:rsid w:val="00B5755D"/>
    <w:rsid w:val="00B662BF"/>
    <w:rsid w:val="00B66BAE"/>
    <w:rsid w:val="00B679EB"/>
    <w:rsid w:val="00B67D3A"/>
    <w:rsid w:val="00B705E5"/>
    <w:rsid w:val="00B76FDE"/>
    <w:rsid w:val="00B84728"/>
    <w:rsid w:val="00B93210"/>
    <w:rsid w:val="00B936C5"/>
    <w:rsid w:val="00BA0573"/>
    <w:rsid w:val="00BA57BC"/>
    <w:rsid w:val="00BA6FBA"/>
    <w:rsid w:val="00BB0E42"/>
    <w:rsid w:val="00BC61E6"/>
    <w:rsid w:val="00BC707E"/>
    <w:rsid w:val="00BD6693"/>
    <w:rsid w:val="00BE10B6"/>
    <w:rsid w:val="00BE69B6"/>
    <w:rsid w:val="00BE7204"/>
    <w:rsid w:val="00BF66B0"/>
    <w:rsid w:val="00BF7C10"/>
    <w:rsid w:val="00C03289"/>
    <w:rsid w:val="00C12E1F"/>
    <w:rsid w:val="00C14A90"/>
    <w:rsid w:val="00C260DB"/>
    <w:rsid w:val="00C316C4"/>
    <w:rsid w:val="00C428AD"/>
    <w:rsid w:val="00C45BAB"/>
    <w:rsid w:val="00C477DC"/>
    <w:rsid w:val="00C61630"/>
    <w:rsid w:val="00C62C9D"/>
    <w:rsid w:val="00C66E37"/>
    <w:rsid w:val="00C7468C"/>
    <w:rsid w:val="00C754F5"/>
    <w:rsid w:val="00C835F1"/>
    <w:rsid w:val="00C9079F"/>
    <w:rsid w:val="00C939F3"/>
    <w:rsid w:val="00CA1014"/>
    <w:rsid w:val="00CA548C"/>
    <w:rsid w:val="00CA6577"/>
    <w:rsid w:val="00CC2218"/>
    <w:rsid w:val="00CC3130"/>
    <w:rsid w:val="00CE2434"/>
    <w:rsid w:val="00CE45D7"/>
    <w:rsid w:val="00CE6522"/>
    <w:rsid w:val="00CF004E"/>
    <w:rsid w:val="00CF2F7F"/>
    <w:rsid w:val="00D011BA"/>
    <w:rsid w:val="00D0136E"/>
    <w:rsid w:val="00D0699A"/>
    <w:rsid w:val="00D174A8"/>
    <w:rsid w:val="00D17621"/>
    <w:rsid w:val="00D36D6D"/>
    <w:rsid w:val="00D51BAA"/>
    <w:rsid w:val="00D6450B"/>
    <w:rsid w:val="00D73804"/>
    <w:rsid w:val="00D869DE"/>
    <w:rsid w:val="00D94ABA"/>
    <w:rsid w:val="00DA2526"/>
    <w:rsid w:val="00DB2BE2"/>
    <w:rsid w:val="00DC6C26"/>
    <w:rsid w:val="00DD03C0"/>
    <w:rsid w:val="00DD3E72"/>
    <w:rsid w:val="00DD6CD0"/>
    <w:rsid w:val="00DE07BF"/>
    <w:rsid w:val="00DE2129"/>
    <w:rsid w:val="00DE218D"/>
    <w:rsid w:val="00DE4960"/>
    <w:rsid w:val="00DF0961"/>
    <w:rsid w:val="00E036D5"/>
    <w:rsid w:val="00E06DA7"/>
    <w:rsid w:val="00E10414"/>
    <w:rsid w:val="00E10F04"/>
    <w:rsid w:val="00E117EE"/>
    <w:rsid w:val="00E151A6"/>
    <w:rsid w:val="00E34131"/>
    <w:rsid w:val="00E4648E"/>
    <w:rsid w:val="00E514D8"/>
    <w:rsid w:val="00E611A9"/>
    <w:rsid w:val="00E66503"/>
    <w:rsid w:val="00E709AE"/>
    <w:rsid w:val="00E90480"/>
    <w:rsid w:val="00E9712E"/>
    <w:rsid w:val="00EA24A7"/>
    <w:rsid w:val="00EA5F3F"/>
    <w:rsid w:val="00EC0908"/>
    <w:rsid w:val="00EC4F23"/>
    <w:rsid w:val="00ED3EE2"/>
    <w:rsid w:val="00EE08FF"/>
    <w:rsid w:val="00EE23D6"/>
    <w:rsid w:val="00EE3945"/>
    <w:rsid w:val="00EE66B7"/>
    <w:rsid w:val="00EF597E"/>
    <w:rsid w:val="00EF7CB7"/>
    <w:rsid w:val="00F11BAE"/>
    <w:rsid w:val="00F12A84"/>
    <w:rsid w:val="00F15620"/>
    <w:rsid w:val="00F21C95"/>
    <w:rsid w:val="00F50763"/>
    <w:rsid w:val="00F52E48"/>
    <w:rsid w:val="00F55DD4"/>
    <w:rsid w:val="00F61246"/>
    <w:rsid w:val="00F66313"/>
    <w:rsid w:val="00F940A1"/>
    <w:rsid w:val="00F97C8D"/>
    <w:rsid w:val="00FA2AB5"/>
    <w:rsid w:val="00FA7B3F"/>
    <w:rsid w:val="00FB76CF"/>
    <w:rsid w:val="00FD6DA8"/>
    <w:rsid w:val="00FE5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68DD4"/>
  <w15:chartTrackingRefBased/>
  <w15:docId w15:val="{11276136-0E54-194D-AFF9-D73B284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snapToGrid w:val="0"/>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qFormat/>
    <w:rsid w:val="00D0699A"/>
    <w:pPr>
      <w:keepNext/>
      <w:keepLines/>
      <w:numPr>
        <w:numId w:val="1"/>
      </w:numPr>
      <w:tabs>
        <w:tab w:val="left" w:pos="720"/>
      </w:tabs>
      <w:spacing w:after="120"/>
      <w:outlineLvl w:val="0"/>
    </w:pPr>
    <w:rPr>
      <w:caps/>
      <w:color w:val="E64600"/>
      <w:sz w:val="40"/>
      <w:szCs w:val="40"/>
    </w:rPr>
  </w:style>
  <w:style w:type="paragraph" w:styleId="Heading2">
    <w:name w:val="heading 2"/>
    <w:basedOn w:val="Normal"/>
    <w:next w:val="BodyText"/>
    <w:qFormat/>
    <w:rsid w:val="00FA2AB5"/>
    <w:pPr>
      <w:keepNext/>
      <w:keepLines/>
      <w:spacing w:after="120"/>
      <w:ind w:left="720"/>
      <w:outlineLvl w:val="1"/>
    </w:pPr>
    <w:rPr>
      <w:color w:val="E64600"/>
      <w:sz w:val="32"/>
      <w:szCs w:val="32"/>
    </w:rPr>
  </w:style>
  <w:style w:type="paragraph" w:styleId="Heading3">
    <w:name w:val="heading 3"/>
    <w:basedOn w:val="Normal"/>
    <w:next w:val="BodyText"/>
    <w:qFormat/>
    <w:rsid w:val="00FA2AB5"/>
    <w:pPr>
      <w:keepNext/>
      <w:keepLines/>
      <w:spacing w:after="120"/>
      <w:ind w:left="720"/>
      <w:outlineLvl w:val="2"/>
    </w:pPr>
    <w:rPr>
      <w:color w:val="E64600"/>
      <w:sz w:val="24"/>
      <w:szCs w:val="24"/>
    </w:rPr>
  </w:style>
  <w:style w:type="paragraph" w:styleId="Heading4">
    <w:name w:val="heading 4"/>
    <w:basedOn w:val="Normal"/>
    <w:next w:val="BodyText"/>
    <w:qFormat/>
    <w:rsid w:val="00FA2AB5"/>
    <w:pPr>
      <w:keepNext/>
      <w:keepLines/>
      <w:spacing w:after="120"/>
      <w:ind w:left="720"/>
      <w:outlineLvl w:val="3"/>
    </w:pPr>
    <w:rPr>
      <w:sz w:val="24"/>
      <w:szCs w:val="24"/>
    </w:rPr>
  </w:style>
  <w:style w:type="paragraph" w:styleId="Heading5">
    <w:name w:val="heading 5"/>
    <w:basedOn w:val="Normal"/>
    <w:next w:val="Normal"/>
    <w:link w:val="Heading5Char"/>
    <w:uiPriority w:val="9"/>
    <w:unhideWhenUsed/>
    <w:rsid w:val="00EA24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680A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0A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0A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0A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A2AB5"/>
    <w:pPr>
      <w:keepLines/>
      <w:numPr>
        <w:ilvl w:val="1"/>
        <w:numId w:val="1"/>
      </w:numPr>
      <w:spacing w:after="120"/>
    </w:pPr>
  </w:style>
  <w:style w:type="paragraph" w:styleId="Footer">
    <w:name w:val="footer"/>
    <w:basedOn w:val="Header"/>
    <w:uiPriority w:val="1"/>
    <w:rsid w:val="00702536"/>
    <w:pPr>
      <w:pBdr>
        <w:top w:val="single" w:sz="4" w:space="6" w:color="E64600"/>
        <w:bottom w:val="none" w:sz="0" w:space="0" w:color="auto"/>
      </w:pBdr>
      <w:spacing w:before="240" w:after="0"/>
    </w:pPr>
  </w:style>
  <w:style w:type="paragraph" w:styleId="Header">
    <w:name w:val="header"/>
    <w:basedOn w:val="Normal"/>
    <w:link w:val="HeaderChar"/>
    <w:uiPriority w:val="99"/>
    <w:rsid w:val="00702536"/>
    <w:pPr>
      <w:pBdr>
        <w:bottom w:val="single" w:sz="4" w:space="6" w:color="E64600"/>
      </w:pBdr>
      <w:tabs>
        <w:tab w:val="right" w:pos="9070"/>
      </w:tabs>
      <w:spacing w:after="240" w:line="360" w:lineRule="auto"/>
      <w:jc w:val="center"/>
    </w:pPr>
    <w:rPr>
      <w:color w:val="E64600"/>
      <w:szCs w:val="24"/>
    </w:rPr>
  </w:style>
  <w:style w:type="paragraph" w:styleId="ListBullet">
    <w:name w:val="List Bullet"/>
    <w:basedOn w:val="Normal"/>
    <w:qFormat/>
    <w:rsid w:val="00FA2AB5"/>
    <w:pPr>
      <w:numPr>
        <w:numId w:val="4"/>
      </w:numPr>
      <w:tabs>
        <w:tab w:val="clear" w:pos="1080"/>
        <w:tab w:val="left" w:pos="1077"/>
      </w:tabs>
      <w:spacing w:after="120"/>
      <w:contextualSpacing/>
    </w:pPr>
  </w:style>
  <w:style w:type="paragraph" w:customStyle="1" w:styleId="ListNumbered">
    <w:name w:val="List Numbered"/>
    <w:basedOn w:val="Normal"/>
    <w:qFormat/>
    <w:rsid w:val="00FA2AB5"/>
    <w:pPr>
      <w:numPr>
        <w:numId w:val="5"/>
      </w:numPr>
      <w:tabs>
        <w:tab w:val="clear" w:pos="1080"/>
        <w:tab w:val="left" w:pos="1077"/>
      </w:tabs>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rsid w:val="00D0699A"/>
    <w:pPr>
      <w:keepLines/>
      <w:spacing w:after="240"/>
    </w:pPr>
    <w:rPr>
      <w:color w:val="E64600"/>
      <w:sz w:val="56"/>
      <w:szCs w:val="56"/>
    </w:rPr>
  </w:style>
  <w:style w:type="paragraph" w:customStyle="1" w:styleId="TITLE2">
    <w:name w:val="TITLE 2"/>
    <w:basedOn w:val="Normal"/>
    <w:next w:val="TITLE3"/>
    <w:rsid w:val="00D0699A"/>
    <w:pPr>
      <w:keepLines/>
      <w:spacing w:after="240"/>
    </w:pPr>
    <w:rPr>
      <w:color w:val="E64600"/>
      <w:sz w:val="48"/>
      <w:szCs w:val="48"/>
    </w:rPr>
  </w:style>
  <w:style w:type="paragraph" w:customStyle="1" w:styleId="TITLE3">
    <w:name w:val="TITLE 3"/>
    <w:basedOn w:val="Normal"/>
    <w:rsid w:val="00D0699A"/>
    <w:pPr>
      <w:keepLines/>
      <w:spacing w:after="240"/>
    </w:pPr>
    <w:rPr>
      <w:sz w:val="40"/>
      <w:szCs w:val="40"/>
    </w:rPr>
  </w:style>
  <w:style w:type="paragraph" w:styleId="TOC1">
    <w:name w:val="toc 1"/>
    <w:basedOn w:val="Normal"/>
    <w:next w:val="Normal"/>
    <w:uiPriority w:val="39"/>
    <w:rsid w:val="00C754F5"/>
    <w:pPr>
      <w:keepNext/>
      <w:keepLines/>
      <w:tabs>
        <w:tab w:val="left" w:pos="357"/>
        <w:tab w:val="right" w:pos="9072"/>
      </w:tabs>
      <w:spacing w:before="240"/>
      <w:ind w:left="357" w:hanging="357"/>
    </w:pPr>
    <w:rPr>
      <w:caps/>
      <w:noProof/>
    </w:rPr>
  </w:style>
  <w:style w:type="paragraph" w:styleId="TOC2">
    <w:name w:val="toc 2"/>
    <w:basedOn w:val="Normal"/>
    <w:next w:val="Normal"/>
    <w:uiPriority w:val="39"/>
    <w:rsid w:val="00C754F5"/>
    <w:pPr>
      <w:keepNext/>
      <w:keepLines/>
      <w:tabs>
        <w:tab w:val="right" w:pos="9072"/>
      </w:tabs>
      <w:ind w:left="357"/>
    </w:pPr>
    <w:rPr>
      <w:noProof/>
    </w:rPr>
  </w:style>
  <w:style w:type="paragraph" w:styleId="TOC3">
    <w:name w:val="toc 3"/>
    <w:basedOn w:val="Normal"/>
    <w:next w:val="Normal"/>
    <w:uiPriority w:val="39"/>
    <w:rsid w:val="00C754F5"/>
    <w:pPr>
      <w:keepLines/>
      <w:tabs>
        <w:tab w:val="right" w:pos="9072"/>
      </w:tabs>
      <w:ind w:left="720"/>
    </w:pPr>
    <w:rPr>
      <w:noProof/>
    </w:rPr>
  </w:style>
  <w:style w:type="paragraph" w:customStyle="1" w:styleId="TOCTITLE">
    <w:name w:val="TOC TITLE"/>
    <w:basedOn w:val="Normal"/>
    <w:next w:val="TOC1"/>
    <w:uiPriority w:val="1"/>
    <w:rsid w:val="00A3661A"/>
    <w:pPr>
      <w:keepNext/>
      <w:keepLines/>
      <w:spacing w:after="120"/>
    </w:pPr>
    <w:rPr>
      <w:color w:val="E64600"/>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702536"/>
    <w:rPr>
      <w:color w:val="E6460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sz w:val="24"/>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36"/>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80A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0A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0A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0A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semiHidden/>
    <w:unhideWhenUsed/>
    <w:rsid w:val="00680A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80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unhideWhenUsed/>
    <w:rsid w:val="00680A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680ABE"/>
    <w:rPr>
      <w:rFonts w:asciiTheme="minorHAnsi" w:eastAsiaTheme="majorEastAsia" w:hAnsiTheme="minorHAnsi" w:cstheme="majorBidi"/>
      <w:color w:val="595959" w:themeColor="text1" w:themeTint="A6"/>
      <w:spacing w:val="15"/>
      <w:sz w:val="28"/>
      <w:szCs w:val="28"/>
    </w:rPr>
  </w:style>
  <w:style w:type="character" w:styleId="IntenseEmphasis">
    <w:name w:val="Intense Emphasis"/>
    <w:basedOn w:val="DefaultParagraphFont"/>
    <w:uiPriority w:val="21"/>
    <w:semiHidden/>
    <w:unhideWhenUsed/>
    <w:rsid w:val="00680ABE"/>
    <w:rPr>
      <w:i/>
      <w:iCs/>
      <w:color w:val="2F5496" w:themeColor="accent1" w:themeShade="BF"/>
    </w:rPr>
  </w:style>
  <w:style w:type="paragraph" w:styleId="IntenseQuote">
    <w:name w:val="Intense Quote"/>
    <w:basedOn w:val="Normal"/>
    <w:next w:val="Normal"/>
    <w:link w:val="IntenseQuoteChar"/>
    <w:uiPriority w:val="30"/>
    <w:semiHidden/>
    <w:unhideWhenUsed/>
    <w:rsid w:val="00680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680ABE"/>
    <w:rPr>
      <w:i/>
      <w:iCs/>
      <w:color w:val="2F5496" w:themeColor="accent1" w:themeShade="BF"/>
    </w:rPr>
  </w:style>
  <w:style w:type="character" w:styleId="IntenseReference">
    <w:name w:val="Intense Reference"/>
    <w:basedOn w:val="DefaultParagraphFont"/>
    <w:uiPriority w:val="32"/>
    <w:semiHidden/>
    <w:unhideWhenUsed/>
    <w:rsid w:val="00680ABE"/>
    <w:rPr>
      <w:b/>
      <w:bCs/>
      <w:smallCaps/>
      <w:color w:val="2F5496" w:themeColor="accent1" w:themeShade="BF"/>
      <w:spacing w:val="5"/>
    </w:rPr>
  </w:style>
  <w:style w:type="paragraph" w:customStyle="1" w:styleId="p1">
    <w:name w:val="p1"/>
    <w:basedOn w:val="Normal"/>
    <w:rsid w:val="00680ABE"/>
    <w:rPr>
      <w:rFonts w:ascii="Arial" w:hAnsi="Arial" w:cs="Arial"/>
      <w:snapToGrid/>
      <w:color w:val="000000"/>
      <w:sz w:val="18"/>
      <w:szCs w:val="18"/>
    </w:rPr>
  </w:style>
  <w:style w:type="character" w:customStyle="1" w:styleId="s1">
    <w:name w:val="s1"/>
    <w:basedOn w:val="DefaultParagraphFont"/>
    <w:rsid w:val="00817E02"/>
    <w:rPr>
      <w:rFonts w:ascii="Arial" w:hAnsi="Arial" w:cs="Arial" w:hint="default"/>
      <w:sz w:val="12"/>
      <w:szCs w:val="12"/>
    </w:rPr>
  </w:style>
  <w:style w:type="character" w:styleId="UnresolvedMention">
    <w:name w:val="Unresolved Mention"/>
    <w:basedOn w:val="DefaultParagraphFont"/>
    <w:uiPriority w:val="99"/>
    <w:rsid w:val="00E036D5"/>
    <w:rPr>
      <w:color w:val="605E5C"/>
      <w:shd w:val="clear" w:color="auto" w:fill="E1DFDD"/>
    </w:rPr>
  </w:style>
  <w:style w:type="character" w:styleId="FollowedHyperlink">
    <w:name w:val="FollowedHyperlink"/>
    <w:basedOn w:val="DefaultParagraphFont"/>
    <w:uiPriority w:val="99"/>
    <w:semiHidden/>
    <w:unhideWhenUsed/>
    <w:rsid w:val="00AA6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officers.org.uk/uploads/POS-MBP13-Housing%20Crisi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8019-B1FF-0F4C-B49F-F0B1CC14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1863</Words>
  <Characters>9634</Characters>
  <Application>Microsoft Office Word</Application>
  <DocSecurity>0</DocSecurity>
  <Lines>188</Lines>
  <Paragraphs>72</Paragraphs>
  <ScaleCrop>false</ScaleCrop>
  <HeadingPairs>
    <vt:vector size="2" baseType="variant">
      <vt:variant>
        <vt:lpstr>Title</vt:lpstr>
      </vt:variant>
      <vt:variant>
        <vt:i4>1</vt:i4>
      </vt:variant>
    </vt:vector>
  </HeadingPairs>
  <TitlesOfParts>
    <vt:vector size="1" baseType="lpstr">
      <vt:lpstr>Report Template (Times New Roman)</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(Times New Roman)</dc:title>
  <dc:subject/>
  <dc:creator>Michael Kiely</dc:creator>
  <cp:keywords/>
  <dc:description/>
  <cp:lastModifiedBy>Michael Kiely</cp:lastModifiedBy>
  <cp:revision>188</cp:revision>
  <cp:lastPrinted>2015-05-17T12:18:00Z</cp:lastPrinted>
  <dcterms:created xsi:type="dcterms:W3CDTF">2025-12-09T12:07:00Z</dcterms:created>
  <dcterms:modified xsi:type="dcterms:W3CDTF">2026-01-19T11:49:00Z</dcterms:modified>
</cp:coreProperties>
</file>