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62AF" w14:textId="77777777" w:rsidR="00131ED8" w:rsidRPr="00124849" w:rsidRDefault="00131ED8" w:rsidP="002A3A4B">
      <w:pPr>
        <w:spacing w:after="120"/>
        <w:rPr>
          <w:b/>
          <w:bCs/>
          <w:sz w:val="24"/>
          <w:szCs w:val="24"/>
        </w:rPr>
      </w:pPr>
      <w:r w:rsidRPr="00124849">
        <w:rPr>
          <w:b/>
          <w:bCs/>
          <w:sz w:val="24"/>
          <w:szCs w:val="24"/>
        </w:rPr>
        <w:t>MHCLG</w:t>
      </w:r>
    </w:p>
    <w:p w14:paraId="28BD7321" w14:textId="17FB687A" w:rsidR="002A3A4B" w:rsidRPr="00124849" w:rsidRDefault="001F04BB" w:rsidP="002A3A4B">
      <w:pPr>
        <w:spacing w:after="120"/>
        <w:rPr>
          <w:sz w:val="24"/>
          <w:szCs w:val="24"/>
        </w:rPr>
      </w:pPr>
      <w:r w:rsidRPr="00124849">
        <w:rPr>
          <w:sz w:val="24"/>
          <w:szCs w:val="24"/>
        </w:rPr>
        <w:t>Consultation on the proposed London Emergency Housing Package</w:t>
      </w:r>
      <w:r w:rsidR="00B802E0" w:rsidRPr="00856ED2">
        <w:rPr>
          <w:sz w:val="24"/>
          <w:szCs w:val="24"/>
        </w:rPr>
        <w:t xml:space="preserve"> (November 2025)</w:t>
      </w:r>
    </w:p>
    <w:p w14:paraId="353ACA67" w14:textId="77777777" w:rsidR="00124849" w:rsidRPr="00792CA7" w:rsidRDefault="00124849" w:rsidP="00124849">
      <w:pPr>
        <w:spacing w:after="120"/>
        <w:rPr>
          <w:b/>
          <w:bCs/>
        </w:rPr>
      </w:pPr>
      <w:r w:rsidRPr="00792CA7">
        <w:rPr>
          <w:b/>
          <w:bCs/>
        </w:rPr>
        <w:t>Introductory comments</w:t>
      </w:r>
    </w:p>
    <w:p w14:paraId="5C8F780F" w14:textId="77777777" w:rsidR="002B1991" w:rsidRDefault="002B1991" w:rsidP="002B1991">
      <w:pPr>
        <w:spacing w:after="120"/>
      </w:pPr>
      <w:r>
        <w:t>POS considers that these</w:t>
      </w:r>
      <w:r w:rsidRPr="007B57FB">
        <w:t xml:space="preserve"> </w:t>
      </w:r>
      <w:r w:rsidRPr="00CE2434">
        <w:t>measure</w:t>
      </w:r>
      <w:r>
        <w:t>s</w:t>
      </w:r>
      <w:r w:rsidRPr="00694F65">
        <w:t xml:space="preserve"> </w:t>
      </w:r>
      <w:r>
        <w:t>are</w:t>
      </w:r>
      <w:r w:rsidRPr="00CE2434">
        <w:t xml:space="preserve"> </w:t>
      </w:r>
      <w:r>
        <w:t>fundamentally misplaced</w:t>
      </w:r>
      <w:r w:rsidRPr="00CE2434">
        <w:t>.</w:t>
      </w:r>
      <w:r w:rsidRPr="00694F65">
        <w:t xml:space="preserve"> </w:t>
      </w:r>
      <w:r>
        <w:t xml:space="preserve">They </w:t>
      </w:r>
      <w:r w:rsidRPr="00CE2434">
        <w:t>confus</w:t>
      </w:r>
      <w:r>
        <w:t>e</w:t>
      </w:r>
      <w:r w:rsidRPr="00CE2434">
        <w:t xml:space="preserve"> the need for new homers with the demand for housing. This is</w:t>
      </w:r>
      <w:r w:rsidRPr="007B57FB">
        <w:t xml:space="preserve"> </w:t>
      </w:r>
      <w:r w:rsidRPr="00CE2434">
        <w:t>a major policy failure that has been repeated by successive governments</w:t>
      </w:r>
      <w:r>
        <w:t xml:space="preserve"> since the 1980s</w:t>
      </w:r>
      <w:r w:rsidRPr="00CE2434">
        <w:t>.</w:t>
      </w:r>
      <w:r w:rsidRPr="007B57FB">
        <w:t xml:space="preserve"> </w:t>
      </w:r>
      <w:r w:rsidRPr="00CE2434">
        <w:t>Whilst the need for homes is clear, few people can afford to buy in the</w:t>
      </w:r>
      <w:r w:rsidRPr="007B57FB">
        <w:t xml:space="preserve"> </w:t>
      </w:r>
      <w:r w:rsidRPr="00CE2434">
        <w:t>current housing market</w:t>
      </w:r>
      <w:r>
        <w:t>; m</w:t>
      </w:r>
      <w:r w:rsidRPr="00CE2434">
        <w:t xml:space="preserve">ortgage costs remain </w:t>
      </w:r>
      <w:r>
        <w:t xml:space="preserve">relatively </w:t>
      </w:r>
      <w:r w:rsidRPr="00CE2434">
        <w:t>high</w:t>
      </w:r>
      <w:r>
        <w:t xml:space="preserve"> and t</w:t>
      </w:r>
      <w:r w:rsidRPr="00CE2434">
        <w:t>he deposit required is</w:t>
      </w:r>
      <w:r w:rsidRPr="007B57FB">
        <w:t xml:space="preserve"> </w:t>
      </w:r>
      <w:r w:rsidRPr="00CE2434">
        <w:t>unaffordable for most people.</w:t>
      </w:r>
      <w:r w:rsidRPr="007B57FB">
        <w:t xml:space="preserve"> </w:t>
      </w:r>
      <w:r>
        <w:t>The social housing model has been broken since 2011 and the consequential demand for temporary accommodation represents a huge drain on public money that is taking many councils</w:t>
      </w:r>
      <w:r w:rsidRPr="00EC0908">
        <w:t xml:space="preserve"> </w:t>
      </w:r>
      <w:r>
        <w:t xml:space="preserve">to the verge of if not into bankruptcy. The private housebuilding sector will not </w:t>
      </w:r>
      <w:r w:rsidRPr="00CE2434">
        <w:t>build our way out of</w:t>
      </w:r>
      <w:r w:rsidRPr="007B57FB">
        <w:t xml:space="preserve"> </w:t>
      </w:r>
      <w:r>
        <w:t>these problems; they’re job is to make money for their shareholders out of building and selling homes and if they do not think they can sell, they will not build.</w:t>
      </w:r>
      <w:r w:rsidRPr="00450B5F">
        <w:t xml:space="preserve"> </w:t>
      </w:r>
      <w:r w:rsidRPr="00CE2434">
        <w:t>Given the</w:t>
      </w:r>
      <w:r>
        <w:t>se</w:t>
      </w:r>
      <w:r w:rsidRPr="00CE2434">
        <w:t xml:space="preserve"> structural failings in the housing market, this stimulus package </w:t>
      </w:r>
      <w:r>
        <w:t>fails to</w:t>
      </w:r>
      <w:r w:rsidRPr="00CE2434">
        <w:t xml:space="preserve"> address the underlying problems.</w:t>
      </w:r>
      <w:r w:rsidRPr="00F55DD4">
        <w:t xml:space="preserve"> </w:t>
      </w:r>
      <w:r w:rsidRPr="00CE2434">
        <w:t>It</w:t>
      </w:r>
      <w:r w:rsidRPr="007B57FB">
        <w:t xml:space="preserve"> </w:t>
      </w:r>
      <w:r w:rsidRPr="00CE2434">
        <w:t xml:space="preserve">is </w:t>
      </w:r>
      <w:r>
        <w:t>fundamentally about</w:t>
      </w:r>
      <w:r w:rsidRPr="00CE2434">
        <w:t xml:space="preserve"> economics</w:t>
      </w:r>
      <w:r>
        <w:t>, but o</w:t>
      </w:r>
      <w:r w:rsidRPr="00CE2434">
        <w:t>nce again</w:t>
      </w:r>
      <w:r>
        <w:t xml:space="preserve"> changes to the</w:t>
      </w:r>
      <w:r w:rsidRPr="00CE2434">
        <w:t xml:space="preserve"> planning system </w:t>
      </w:r>
      <w:r>
        <w:t>are proposed to give the appearance of action, but the fundamental problems remain unaddressed</w:t>
      </w:r>
      <w:r w:rsidRPr="00CE2434">
        <w:t xml:space="preserve">. </w:t>
      </w:r>
    </w:p>
    <w:p w14:paraId="26E23738" w14:textId="531AABF7" w:rsidR="005E4C60" w:rsidRDefault="00124849" w:rsidP="00EC3D22">
      <w:pPr>
        <w:spacing w:after="120"/>
      </w:pPr>
      <w:r>
        <w:t xml:space="preserve">POS has </w:t>
      </w:r>
      <w:r w:rsidR="00B275F6">
        <w:t xml:space="preserve">previously </w:t>
      </w:r>
      <w:r>
        <w:t xml:space="preserve">set out its views and recommendations on the housing crisis </w:t>
      </w:r>
      <w:hyperlink r:id="rId8" w:history="1">
        <w:r w:rsidRPr="00E036D5">
          <w:rPr>
            <w:rStyle w:val="Hyperlink"/>
          </w:rPr>
          <w:t>here</w:t>
        </w:r>
      </w:hyperlink>
      <w:r>
        <w:t>.</w:t>
      </w:r>
    </w:p>
    <w:tbl>
      <w:tblPr>
        <w:tblStyle w:val="TableGrid"/>
        <w:tblW w:w="15309" w:type="dxa"/>
        <w:tblLook w:val="04A0" w:firstRow="1" w:lastRow="0" w:firstColumn="1" w:lastColumn="0" w:noHBand="0" w:noVBand="1"/>
      </w:tblPr>
      <w:tblGrid>
        <w:gridCol w:w="5807"/>
        <w:gridCol w:w="9502"/>
      </w:tblGrid>
      <w:tr w:rsidR="00131ED8" w14:paraId="1239D4AA" w14:textId="77777777" w:rsidTr="0075424D">
        <w:tc>
          <w:tcPr>
            <w:tcW w:w="5807" w:type="dxa"/>
          </w:tcPr>
          <w:p w14:paraId="1B9F8C3A" w14:textId="0CCC9012" w:rsidR="00131ED8" w:rsidRDefault="00131ED8" w:rsidP="00131ED8">
            <w:pPr>
              <w:spacing w:after="120"/>
            </w:pPr>
            <w:r w:rsidRPr="00761115">
              <w:rPr>
                <w:b/>
                <w:bCs/>
              </w:rPr>
              <w:t>Consultation Questions</w:t>
            </w:r>
          </w:p>
        </w:tc>
        <w:tc>
          <w:tcPr>
            <w:tcW w:w="9502" w:type="dxa"/>
          </w:tcPr>
          <w:p w14:paraId="52D360EA" w14:textId="1EBFCD78" w:rsidR="00131ED8" w:rsidRDefault="00131ED8" w:rsidP="00131ED8">
            <w:pPr>
              <w:spacing w:after="120"/>
            </w:pPr>
            <w:r w:rsidRPr="00761115">
              <w:rPr>
                <w:b/>
                <w:bCs/>
              </w:rPr>
              <w:t>POS London Response</w:t>
            </w:r>
          </w:p>
        </w:tc>
      </w:tr>
      <w:tr w:rsidR="00F431F2" w14:paraId="054B0BD2" w14:textId="77777777" w:rsidTr="0075424D">
        <w:tc>
          <w:tcPr>
            <w:tcW w:w="5807" w:type="dxa"/>
          </w:tcPr>
          <w:p w14:paraId="3D9E532C" w14:textId="1839712E" w:rsidR="00F431F2" w:rsidRDefault="00F431F2" w:rsidP="00F431F2">
            <w:pPr>
              <w:spacing w:after="120"/>
            </w:pPr>
            <w:r w:rsidRPr="002A3A4B">
              <w:t>1: What is your name?</w:t>
            </w:r>
          </w:p>
        </w:tc>
        <w:tc>
          <w:tcPr>
            <w:tcW w:w="9502" w:type="dxa"/>
          </w:tcPr>
          <w:p w14:paraId="7DE996CC" w14:textId="69CE3DD5" w:rsidR="00F431F2" w:rsidRDefault="003C45A7" w:rsidP="0056390F">
            <w:pPr>
              <w:spacing w:after="120"/>
            </w:pPr>
            <w:r>
              <w:t>Mike Kiely</w:t>
            </w:r>
          </w:p>
        </w:tc>
      </w:tr>
      <w:tr w:rsidR="00F431F2" w14:paraId="6FB6AAE2" w14:textId="77777777" w:rsidTr="0075424D">
        <w:tc>
          <w:tcPr>
            <w:tcW w:w="5807" w:type="dxa"/>
          </w:tcPr>
          <w:p w14:paraId="2B112692" w14:textId="6EB7A8A1" w:rsidR="00F431F2" w:rsidRDefault="00F431F2" w:rsidP="0056390F">
            <w:pPr>
              <w:spacing w:after="120"/>
            </w:pPr>
            <w:r w:rsidRPr="002A3A4B">
              <w:t>2: What is your email address?</w:t>
            </w:r>
          </w:p>
        </w:tc>
        <w:tc>
          <w:tcPr>
            <w:tcW w:w="9502" w:type="dxa"/>
          </w:tcPr>
          <w:p w14:paraId="4C017A1E" w14:textId="5E7B12CB" w:rsidR="00F431F2" w:rsidRDefault="007C335A" w:rsidP="0056390F">
            <w:pPr>
              <w:spacing w:after="120"/>
            </w:pPr>
            <w:r>
              <w:t>chair</w:t>
            </w:r>
            <w:r w:rsidR="003C45A7">
              <w:t>@</w:t>
            </w:r>
            <w:r>
              <w:t>planningofficers.org</w:t>
            </w:r>
            <w:r w:rsidR="00D351D3">
              <w:t>.uk</w:t>
            </w:r>
          </w:p>
        </w:tc>
      </w:tr>
      <w:tr w:rsidR="00F431F2" w14:paraId="5681D9B2" w14:textId="77777777" w:rsidTr="0075424D">
        <w:tc>
          <w:tcPr>
            <w:tcW w:w="5807" w:type="dxa"/>
          </w:tcPr>
          <w:p w14:paraId="4DC6A613" w14:textId="16CD2E2A" w:rsidR="00F431F2" w:rsidRDefault="00F431F2" w:rsidP="0056390F">
            <w:pPr>
              <w:spacing w:after="120"/>
            </w:pPr>
            <w:r w:rsidRPr="002A3A4B">
              <w:t>3: Are you replying as an individual or submitting a response on behalf of</w:t>
            </w:r>
            <w:r>
              <w:t xml:space="preserve"> </w:t>
            </w:r>
            <w:r w:rsidRPr="002A3A4B">
              <w:t>an organisation?</w:t>
            </w:r>
          </w:p>
        </w:tc>
        <w:tc>
          <w:tcPr>
            <w:tcW w:w="9502" w:type="dxa"/>
          </w:tcPr>
          <w:p w14:paraId="58DDF80C" w14:textId="6F0EFC6A" w:rsidR="00F431F2" w:rsidRDefault="003C45A7" w:rsidP="0056390F">
            <w:pPr>
              <w:spacing w:after="120"/>
            </w:pPr>
            <w:r>
              <w:t>On behalf of the Planning Officers Society London</w:t>
            </w:r>
          </w:p>
        </w:tc>
      </w:tr>
      <w:tr w:rsidR="00F431F2" w:rsidRPr="00124849" w14:paraId="45BDC503" w14:textId="77777777" w:rsidTr="00787C79">
        <w:tc>
          <w:tcPr>
            <w:tcW w:w="15309" w:type="dxa"/>
            <w:gridSpan w:val="2"/>
          </w:tcPr>
          <w:p w14:paraId="091D57CB" w14:textId="569F2DDC" w:rsidR="00F431F2" w:rsidRPr="00124849" w:rsidRDefault="00F431F2" w:rsidP="0056390F">
            <w:pPr>
              <w:spacing w:after="120"/>
              <w:rPr>
                <w:b/>
                <w:bCs/>
              </w:rPr>
            </w:pPr>
            <w:r w:rsidRPr="00124849">
              <w:rPr>
                <w:b/>
                <w:bCs/>
              </w:rPr>
              <w:t>Part I: A proposal for time-limited relief from the Community Infrastructure Levy to support housebuilding in London</w:t>
            </w:r>
          </w:p>
        </w:tc>
      </w:tr>
      <w:tr w:rsidR="00F431F2" w14:paraId="704683E9" w14:textId="77777777" w:rsidTr="0075424D">
        <w:tc>
          <w:tcPr>
            <w:tcW w:w="5807" w:type="dxa"/>
          </w:tcPr>
          <w:p w14:paraId="1C3BDBC2" w14:textId="6AC8EDBB" w:rsidR="00F431F2" w:rsidRDefault="00F431F2" w:rsidP="0056390F">
            <w:pPr>
              <w:spacing w:after="120"/>
            </w:pPr>
            <w:r w:rsidRPr="002A3A4B">
              <w:t>4: Do you agree that the relief should not apply to development on</w:t>
            </w:r>
            <w:r>
              <w:t xml:space="preserve"> </w:t>
            </w:r>
            <w:r w:rsidRPr="002A3A4B">
              <w:t>“excluded land” as defined? Please explain your answer.</w:t>
            </w:r>
          </w:p>
        </w:tc>
        <w:tc>
          <w:tcPr>
            <w:tcW w:w="9502" w:type="dxa"/>
          </w:tcPr>
          <w:p w14:paraId="3F6A68E2" w14:textId="37426487" w:rsidR="00F431F2" w:rsidRDefault="0027571E" w:rsidP="0056390F">
            <w:pPr>
              <w:spacing w:after="120"/>
            </w:pPr>
            <w:r>
              <w:t xml:space="preserve">No. </w:t>
            </w:r>
            <w:r w:rsidR="00255D3C">
              <w:t xml:space="preserve">POS </w:t>
            </w:r>
            <w:r w:rsidR="00801C5E">
              <w:t xml:space="preserve">partly </w:t>
            </w:r>
            <w:r w:rsidR="00255D3C">
              <w:t xml:space="preserve">accepts the logic of focusing on brownfield land, based on the assumption that </w:t>
            </w:r>
            <w:r w:rsidR="007E3A0B">
              <w:t xml:space="preserve">land with a low development potential (GB, MOL, </w:t>
            </w:r>
            <w:r w:rsidR="00474DD8">
              <w:t xml:space="preserve">open space etc) will have a high uplift in land value </w:t>
            </w:r>
            <w:r w:rsidR="00104777">
              <w:t xml:space="preserve">following its development for residential purposes </w:t>
            </w:r>
            <w:r w:rsidR="00474DD8">
              <w:t xml:space="preserve">and </w:t>
            </w:r>
            <w:r w:rsidR="008511B8">
              <w:t xml:space="preserve">therefore the BLV </w:t>
            </w:r>
            <w:r w:rsidR="00F73070">
              <w:t>can</w:t>
            </w:r>
            <w:r w:rsidR="00C926A0">
              <w:t xml:space="preserve"> and should</w:t>
            </w:r>
            <w:r w:rsidR="00AA5E13">
              <w:t xml:space="preserve"> be lowered to enable viability challenges to be overcome.</w:t>
            </w:r>
            <w:r w:rsidR="00F36E9F">
              <w:t xml:space="preserve"> POS would point out that that logic appl</w:t>
            </w:r>
            <w:r w:rsidR="00AD3619">
              <w:t>ies</w:t>
            </w:r>
            <w:r w:rsidR="00F36E9F">
              <w:t xml:space="preserve"> to some brownfield land</w:t>
            </w:r>
            <w:r w:rsidR="00531A12">
              <w:t xml:space="preserve"> where the EUV is significantly lower than</w:t>
            </w:r>
            <w:r w:rsidR="00AD3619">
              <w:t xml:space="preserve"> its</w:t>
            </w:r>
            <w:r w:rsidR="00531A12">
              <w:t xml:space="preserve"> </w:t>
            </w:r>
            <w:r w:rsidR="00AD3619">
              <w:t xml:space="preserve">value in </w:t>
            </w:r>
            <w:r w:rsidR="00531A12">
              <w:t>a residential use</w:t>
            </w:r>
            <w:r w:rsidR="00801C5E">
              <w:t xml:space="preserve">. </w:t>
            </w:r>
            <w:r>
              <w:t xml:space="preserve">Therefore </w:t>
            </w:r>
            <w:r w:rsidR="0099289D">
              <w:t>an approach that looks at the EUV compared to a residential use value should be used</w:t>
            </w:r>
            <w:r w:rsidR="00AC280C">
              <w:t xml:space="preserve"> to identify excluded land</w:t>
            </w:r>
            <w:r w:rsidR="0099289D">
              <w:t>.</w:t>
            </w:r>
          </w:p>
        </w:tc>
      </w:tr>
      <w:tr w:rsidR="00D264A2" w14:paraId="09F47DEE" w14:textId="77777777" w:rsidTr="0075424D">
        <w:tc>
          <w:tcPr>
            <w:tcW w:w="5807" w:type="dxa"/>
          </w:tcPr>
          <w:p w14:paraId="5C3F6B5E" w14:textId="6B5DC502" w:rsidR="00D264A2" w:rsidRDefault="00D264A2" w:rsidP="00D264A2">
            <w:pPr>
              <w:spacing w:after="120"/>
            </w:pPr>
            <w:r w:rsidRPr="002A3A4B">
              <w:t>5: The Government welcomes views on approaches restricting relief to</w:t>
            </w:r>
            <w:r>
              <w:t xml:space="preserve"> </w:t>
            </w:r>
            <w:r w:rsidRPr="002A3A4B">
              <w:t>certain land uses – including the merits of whether the policy should apply based on</w:t>
            </w:r>
            <w:r>
              <w:t xml:space="preserve"> </w:t>
            </w:r>
            <w:r w:rsidRPr="002A3A4B">
              <w:t>established use classes, or something more bespoke.</w:t>
            </w:r>
          </w:p>
        </w:tc>
        <w:tc>
          <w:tcPr>
            <w:tcW w:w="9502" w:type="dxa"/>
          </w:tcPr>
          <w:p w14:paraId="0806DA61" w14:textId="51EA0259" w:rsidR="00D264A2" w:rsidRDefault="00D264A2" w:rsidP="00D264A2">
            <w:pPr>
              <w:spacing w:after="120"/>
            </w:pPr>
            <w:r>
              <w:t xml:space="preserve">Notwithstanding the concerns that POS has </w:t>
            </w:r>
            <w:r w:rsidR="0057483C">
              <w:t>about these proposals</w:t>
            </w:r>
            <w:r>
              <w:t xml:space="preserve">, </w:t>
            </w:r>
            <w:r w:rsidR="00A03B42">
              <w:t>we agree with this element of the proposed changes</w:t>
            </w:r>
            <w:r w:rsidR="00B145DD">
              <w:t xml:space="preserve">, and </w:t>
            </w:r>
            <w:proofErr w:type="gramStart"/>
            <w:r w:rsidR="00B145DD">
              <w:t>in particular that</w:t>
            </w:r>
            <w:proofErr w:type="gramEnd"/>
            <w:r w:rsidR="00B145DD">
              <w:t xml:space="preserve"> </w:t>
            </w:r>
            <w:r w:rsidR="00B145DD" w:rsidRPr="00B145DD">
              <w:t xml:space="preserve">it should </w:t>
            </w:r>
            <w:r w:rsidR="00B145DD">
              <w:t xml:space="preserve">not </w:t>
            </w:r>
            <w:r w:rsidR="00B145DD" w:rsidRPr="00B145DD">
              <w:t>apply to student housing and co-living.</w:t>
            </w:r>
          </w:p>
        </w:tc>
      </w:tr>
      <w:tr w:rsidR="008B1EAE" w14:paraId="4773E7C5" w14:textId="77777777" w:rsidTr="0075424D">
        <w:tc>
          <w:tcPr>
            <w:tcW w:w="5807" w:type="dxa"/>
          </w:tcPr>
          <w:p w14:paraId="2309EA87" w14:textId="27120EEA" w:rsidR="008B1EAE" w:rsidRDefault="008B1EAE" w:rsidP="008B1EAE">
            <w:pPr>
              <w:spacing w:after="120"/>
            </w:pPr>
            <w:r w:rsidRPr="002A3A4B">
              <w:t>6: The Government welcomes views on the application and level of the</w:t>
            </w:r>
            <w:r>
              <w:t xml:space="preserve"> </w:t>
            </w:r>
            <w:r w:rsidRPr="002A3A4B">
              <w:t>proposed borough-level CIL liability threshold, including whether this would have</w:t>
            </w:r>
            <w:r>
              <w:t xml:space="preserve"> </w:t>
            </w:r>
            <w:r w:rsidRPr="002A3A4B">
              <w:t>significant negative implications for SME builders.</w:t>
            </w:r>
          </w:p>
        </w:tc>
        <w:tc>
          <w:tcPr>
            <w:tcW w:w="9502" w:type="dxa"/>
          </w:tcPr>
          <w:p w14:paraId="4E7707D2" w14:textId="504B3D6C" w:rsidR="008B1EAE" w:rsidRDefault="0057483C" w:rsidP="008B1EAE">
            <w:pPr>
              <w:spacing w:after="120"/>
            </w:pPr>
            <w:r>
              <w:t>Notwithstanding the concerns that POS has about these proposals</w:t>
            </w:r>
            <w:r w:rsidR="008B1EAE">
              <w:t xml:space="preserve">, we agree with this element of the proposed changes, particularly given </w:t>
            </w:r>
            <w:r w:rsidR="002A219C">
              <w:t>how CIL represents a small element in a development’s financial model</w:t>
            </w:r>
            <w:r w:rsidR="008B1EAE">
              <w:t>.</w:t>
            </w:r>
          </w:p>
        </w:tc>
      </w:tr>
      <w:tr w:rsidR="008B1EAE" w14:paraId="62B9D209" w14:textId="77777777" w:rsidTr="0075424D">
        <w:tc>
          <w:tcPr>
            <w:tcW w:w="5807" w:type="dxa"/>
          </w:tcPr>
          <w:p w14:paraId="448F3A4C" w14:textId="2640241E" w:rsidR="008B1EAE" w:rsidRDefault="008B1EAE" w:rsidP="008B1EAE">
            <w:pPr>
              <w:spacing w:after="120"/>
            </w:pPr>
            <w:r w:rsidRPr="002A3A4B">
              <w:t>7: The Government welcomes views on the threshold applying to a</w:t>
            </w:r>
            <w:r>
              <w:t xml:space="preserve"> </w:t>
            </w:r>
            <w:proofErr w:type="gramStart"/>
            <w:r w:rsidRPr="002A3A4B">
              <w:t>development as a whole, and</w:t>
            </w:r>
            <w:proofErr w:type="gramEnd"/>
            <w:r w:rsidRPr="002A3A4B">
              <w:t xml:space="preserve"> whether this </w:t>
            </w:r>
            <w:r w:rsidRPr="002A3A4B">
              <w:lastRenderedPageBreak/>
              <w:t>presents any challenges for phased</w:t>
            </w:r>
            <w:r>
              <w:t xml:space="preserve"> </w:t>
            </w:r>
            <w:r w:rsidRPr="002A3A4B">
              <w:t>developments where each phase is a separate chargeable development for CIL</w:t>
            </w:r>
            <w:r>
              <w:t xml:space="preserve"> </w:t>
            </w:r>
            <w:r w:rsidRPr="002A3A4B">
              <w:t>purposes. If so, should a lower threshold apply for each phase of a phased</w:t>
            </w:r>
            <w:r>
              <w:t xml:space="preserve"> </w:t>
            </w:r>
            <w:r w:rsidRPr="002A3A4B">
              <w:t>development?</w:t>
            </w:r>
          </w:p>
        </w:tc>
        <w:tc>
          <w:tcPr>
            <w:tcW w:w="9502" w:type="dxa"/>
          </w:tcPr>
          <w:p w14:paraId="45BC4542" w14:textId="5915C387" w:rsidR="008B1EAE" w:rsidRDefault="006607FD" w:rsidP="00DB76C2">
            <w:pPr>
              <w:spacing w:after="120"/>
            </w:pPr>
            <w:r>
              <w:lastRenderedPageBreak/>
              <w:t xml:space="preserve">Logically, the threshold should be applied at the scale of </w:t>
            </w:r>
            <w:r w:rsidR="00DB76C2">
              <w:t xml:space="preserve">phases in a multi-phased scheme </w:t>
            </w:r>
            <w:r w:rsidR="00075684">
              <w:t>because they</w:t>
            </w:r>
            <w:r w:rsidR="00DB76C2">
              <w:t xml:space="preserve"> </w:t>
            </w:r>
            <w:r w:rsidR="00677D22">
              <w:t>are</w:t>
            </w:r>
            <w:r w:rsidR="00DB76C2">
              <w:t xml:space="preserve"> </w:t>
            </w:r>
            <w:r w:rsidR="00677D22">
              <w:t xml:space="preserve">separate </w:t>
            </w:r>
            <w:r w:rsidR="00DB76C2">
              <w:t>chargeable development</w:t>
            </w:r>
            <w:r w:rsidR="00677D22">
              <w:t>s</w:t>
            </w:r>
            <w:r w:rsidR="00DB76C2">
              <w:t xml:space="preserve"> for CIL</w:t>
            </w:r>
            <w:r w:rsidR="00677D22">
              <w:t xml:space="preserve"> purposes</w:t>
            </w:r>
            <w:r w:rsidR="008B1EAE">
              <w:t>.</w:t>
            </w:r>
          </w:p>
        </w:tc>
      </w:tr>
      <w:tr w:rsidR="0090413D" w14:paraId="3D760667" w14:textId="77777777" w:rsidTr="0075424D">
        <w:tc>
          <w:tcPr>
            <w:tcW w:w="5807" w:type="dxa"/>
          </w:tcPr>
          <w:p w14:paraId="0DBB940A" w14:textId="498E99E4" w:rsidR="0090413D" w:rsidRDefault="0090413D" w:rsidP="0090413D">
            <w:pPr>
              <w:spacing w:after="120"/>
            </w:pPr>
            <w:r w:rsidRPr="002A3A4B">
              <w:t>8: The Government welcomes views on the proposal to require a minimum</w:t>
            </w:r>
            <w:r>
              <w:t xml:space="preserve"> </w:t>
            </w:r>
            <w:r w:rsidRPr="002A3A4B">
              <w:t>level of affordable housing as set out in this sub-section.</w:t>
            </w:r>
          </w:p>
        </w:tc>
        <w:tc>
          <w:tcPr>
            <w:tcW w:w="9502" w:type="dxa"/>
          </w:tcPr>
          <w:p w14:paraId="702B0544" w14:textId="5D3FF4CB" w:rsidR="0090413D" w:rsidRDefault="000C4275" w:rsidP="0090413D">
            <w:pPr>
              <w:spacing w:after="120"/>
            </w:pPr>
            <w:r>
              <w:t>We agree with this part of the proposals.</w:t>
            </w:r>
          </w:p>
        </w:tc>
      </w:tr>
      <w:tr w:rsidR="0090413D" w14:paraId="6159BB30" w14:textId="77777777" w:rsidTr="0075424D">
        <w:tc>
          <w:tcPr>
            <w:tcW w:w="5807" w:type="dxa"/>
          </w:tcPr>
          <w:p w14:paraId="73E06B44" w14:textId="1CCAE5C0" w:rsidR="0090413D" w:rsidRDefault="0090413D" w:rsidP="0090413D">
            <w:pPr>
              <w:spacing w:after="120"/>
            </w:pPr>
            <w:r w:rsidRPr="002A3A4B">
              <w:t>9: Overall, are you supportive of the qualifying criteria outlined? Please set</w:t>
            </w:r>
            <w:r>
              <w:t xml:space="preserve"> </w:t>
            </w:r>
            <w:r w:rsidRPr="002A3A4B">
              <w:t>out your views.</w:t>
            </w:r>
          </w:p>
        </w:tc>
        <w:tc>
          <w:tcPr>
            <w:tcW w:w="9502" w:type="dxa"/>
          </w:tcPr>
          <w:p w14:paraId="03800558" w14:textId="06BDE552" w:rsidR="0090413D" w:rsidRDefault="00846328" w:rsidP="0090413D">
            <w:pPr>
              <w:spacing w:after="120"/>
            </w:pPr>
            <w:r>
              <w:t xml:space="preserve">In part. </w:t>
            </w:r>
            <w:r w:rsidR="00945241">
              <w:t>Our c</w:t>
            </w:r>
            <w:r>
              <w:t xml:space="preserve">oncerns </w:t>
            </w:r>
            <w:r w:rsidR="00945241">
              <w:t xml:space="preserve">are </w:t>
            </w:r>
            <w:r>
              <w:t xml:space="preserve">set out above in our answers to questions </w:t>
            </w:r>
            <w:r w:rsidR="003F6A17">
              <w:t>4 with respect to excluded land; it is too narrow.</w:t>
            </w:r>
          </w:p>
        </w:tc>
      </w:tr>
      <w:tr w:rsidR="0090413D" w14:paraId="0CB10414" w14:textId="77777777" w:rsidTr="0075424D">
        <w:tc>
          <w:tcPr>
            <w:tcW w:w="5807" w:type="dxa"/>
          </w:tcPr>
          <w:p w14:paraId="4A6EFF72" w14:textId="4CAA4140" w:rsidR="0090413D" w:rsidRDefault="0090413D" w:rsidP="0090413D">
            <w:pPr>
              <w:spacing w:after="120"/>
            </w:pPr>
            <w:r w:rsidRPr="002A3A4B">
              <w:t>10: The Government welcomes views and evidence on whether a time-</w:t>
            </w:r>
            <w:r>
              <w:t xml:space="preserve"> </w:t>
            </w:r>
            <w:r w:rsidRPr="002A3A4B">
              <w:t>limited borough-level CIL relief in London will have the desired effect of improving</w:t>
            </w:r>
            <w:r>
              <w:t xml:space="preserve"> </w:t>
            </w:r>
            <w:r w:rsidRPr="002A3A4B">
              <w:t>viability to support housebuilding in London? As part of this, the Government would</w:t>
            </w:r>
            <w:r>
              <w:t xml:space="preserve"> </w:t>
            </w:r>
            <w:r w:rsidRPr="002A3A4B">
              <w:t>welcome case studies on the impact that borough-level CIL has on development in</w:t>
            </w:r>
            <w:r>
              <w:t xml:space="preserve"> </w:t>
            </w:r>
            <w:r w:rsidRPr="002A3A4B">
              <w:t>London.</w:t>
            </w:r>
          </w:p>
        </w:tc>
        <w:tc>
          <w:tcPr>
            <w:tcW w:w="9502" w:type="dxa"/>
          </w:tcPr>
          <w:p w14:paraId="0766E357" w14:textId="77777777" w:rsidR="008B7623" w:rsidRDefault="00E106F6" w:rsidP="0090413D">
            <w:pPr>
              <w:spacing w:after="120"/>
            </w:pPr>
            <w:r>
              <w:t xml:space="preserve">In terms of the principal arguments around CIL relief, POS considers that the justification for this measure is misplaced. The consultation states, “… if development does not come forward due to viability and wider issues detailed above, CIL will not be paid at all”. </w:t>
            </w:r>
          </w:p>
          <w:p w14:paraId="5F877BC4" w14:textId="7F69D752" w:rsidR="00D6419E" w:rsidRDefault="00E106F6" w:rsidP="0090413D">
            <w:pPr>
              <w:spacing w:after="120"/>
            </w:pPr>
            <w:r>
              <w:t xml:space="preserve">CIL is a tax on development to fund the infrastructure, the need for which is generated by that development. Therefore, if that development does not come forward, the need for the infrastructure does not occur. A failure to receive CIL in those circumstances should not therefore result in infrastructure funding </w:t>
            </w:r>
            <w:r w:rsidR="00F3730A">
              <w:t xml:space="preserve">or delivery </w:t>
            </w:r>
            <w:r>
              <w:t xml:space="preserve">problems. Conversely, if CIL is reduced by these proposals and development does come forward, it will generate a need for infrastructure funding that these proposals are reducing by 50%. The consultation does not provide any proposals for making up the shortfall in that infrastructure funding. </w:t>
            </w:r>
          </w:p>
          <w:p w14:paraId="12543D6A" w14:textId="729042B0" w:rsidR="00480C90" w:rsidRDefault="00E106F6" w:rsidP="0090413D">
            <w:pPr>
              <w:spacing w:after="120"/>
            </w:pPr>
            <w:r>
              <w:t xml:space="preserve">It must be remembered that CIL represents </w:t>
            </w:r>
            <w:r w:rsidR="00A96436">
              <w:t>a</w:t>
            </w:r>
            <w:r>
              <w:t xml:space="preserve"> small element in a development’s financial model; in most cases it is well under </w:t>
            </w:r>
            <w:r w:rsidR="00E04A83">
              <w:t>5</w:t>
            </w:r>
            <w:r>
              <w:t xml:space="preserve">%. This means that as an incentive to bring forward development in challenging market conditions it will be marginal </w:t>
            </w:r>
            <w:r w:rsidR="006828A2">
              <w:t>at best</w:t>
            </w:r>
            <w:r>
              <w:t xml:space="preserve">; the housebuilding industry </w:t>
            </w:r>
            <w:r w:rsidR="00A96436">
              <w:t xml:space="preserve">in responding to these proposals in the press </w:t>
            </w:r>
            <w:r>
              <w:t xml:space="preserve">has said as much. </w:t>
            </w:r>
          </w:p>
          <w:p w14:paraId="1F4A9E8B" w14:textId="2B6165BB" w:rsidR="0090413D" w:rsidRDefault="00480C90" w:rsidP="0090413D">
            <w:pPr>
              <w:spacing w:after="120"/>
            </w:pPr>
            <w:r>
              <w:t xml:space="preserve">Conversely, </w:t>
            </w:r>
            <w:r w:rsidR="00E106F6">
              <w:t>a 50% reduction in infrastructure funding is very significant and has the potential to result in material harm to communities. POS finds it hard to conclude that this measure is other than window dressing to look as if action is being taken, rather than being a properly considered intervention.</w:t>
            </w:r>
          </w:p>
        </w:tc>
      </w:tr>
      <w:tr w:rsidR="0090413D" w14:paraId="6CB7D547" w14:textId="77777777" w:rsidTr="0075424D">
        <w:tc>
          <w:tcPr>
            <w:tcW w:w="5807" w:type="dxa"/>
          </w:tcPr>
          <w:p w14:paraId="7DF634F9" w14:textId="174ABD47" w:rsidR="0090413D" w:rsidRDefault="0090413D" w:rsidP="0090413D">
            <w:pPr>
              <w:spacing w:after="120"/>
            </w:pPr>
            <w:r w:rsidRPr="002A3A4B">
              <w:t>11: Are there any specific criteria that you think could be clarified or</w:t>
            </w:r>
            <w:r>
              <w:t xml:space="preserve"> </w:t>
            </w:r>
            <w:r w:rsidRPr="002A3A4B">
              <w:t>adjusted? If so, please give your reasons why.</w:t>
            </w:r>
          </w:p>
        </w:tc>
        <w:tc>
          <w:tcPr>
            <w:tcW w:w="9502" w:type="dxa"/>
          </w:tcPr>
          <w:p w14:paraId="695B401F" w14:textId="130B145D" w:rsidR="0090413D" w:rsidRDefault="00945241" w:rsidP="0090413D">
            <w:pPr>
              <w:spacing w:after="120"/>
            </w:pPr>
            <w:r>
              <w:t>Yes, see our answer to question 4.</w:t>
            </w:r>
          </w:p>
        </w:tc>
      </w:tr>
      <w:tr w:rsidR="0090413D" w14:paraId="0DBB0321" w14:textId="77777777" w:rsidTr="0075424D">
        <w:tc>
          <w:tcPr>
            <w:tcW w:w="5807" w:type="dxa"/>
          </w:tcPr>
          <w:p w14:paraId="637DF3D6" w14:textId="294C104E" w:rsidR="0090413D" w:rsidRDefault="0090413D" w:rsidP="0090413D">
            <w:pPr>
              <w:spacing w:after="120"/>
            </w:pPr>
            <w:r w:rsidRPr="002A3A4B">
              <w:t>12: Are there any additional eligibility criteria you think should be</w:t>
            </w:r>
            <w:r>
              <w:t xml:space="preserve"> </w:t>
            </w:r>
            <w:r w:rsidRPr="002A3A4B">
              <w:t>considered for the CIL relief beyond those proposed? Are there any other</w:t>
            </w:r>
            <w:r>
              <w:t xml:space="preserve"> </w:t>
            </w:r>
            <w:r w:rsidRPr="002A3A4B">
              <w:t>observations or comments you wish to make?</w:t>
            </w:r>
          </w:p>
        </w:tc>
        <w:tc>
          <w:tcPr>
            <w:tcW w:w="9502" w:type="dxa"/>
          </w:tcPr>
          <w:p w14:paraId="720039EC" w14:textId="32B1121C" w:rsidR="0090413D" w:rsidRDefault="007F063E" w:rsidP="0090413D">
            <w:pPr>
              <w:spacing w:after="120"/>
            </w:pPr>
            <w:r>
              <w:t>Other than our comments on excluded land (question 4), no.</w:t>
            </w:r>
          </w:p>
        </w:tc>
      </w:tr>
      <w:tr w:rsidR="00E64A0F" w14:paraId="6589FF81" w14:textId="77777777" w:rsidTr="0075424D">
        <w:tc>
          <w:tcPr>
            <w:tcW w:w="5807" w:type="dxa"/>
          </w:tcPr>
          <w:p w14:paraId="5A73CE25" w14:textId="191052FF" w:rsidR="00E64A0F" w:rsidRDefault="00E64A0F" w:rsidP="00E64A0F">
            <w:pPr>
              <w:spacing w:after="120"/>
            </w:pPr>
            <w:r w:rsidRPr="002A3A4B">
              <w:t>13: The Government welcomes views on the proposed steps before</w:t>
            </w:r>
            <w:r>
              <w:t xml:space="preserve"> </w:t>
            </w:r>
            <w:r w:rsidRPr="002A3A4B">
              <w:t>applying for relief as set out in this sub-section. This includes views on how the grant</w:t>
            </w:r>
            <w:r>
              <w:t xml:space="preserve"> </w:t>
            </w:r>
            <w:r w:rsidRPr="002A3A4B">
              <w:t xml:space="preserve">funding mechanism may interact with the proposed CIL relief, </w:t>
            </w:r>
            <w:r w:rsidRPr="002A3A4B">
              <w:lastRenderedPageBreak/>
              <w:t>and any circumstances</w:t>
            </w:r>
            <w:r>
              <w:t xml:space="preserve"> </w:t>
            </w:r>
            <w:r w:rsidRPr="002A3A4B">
              <w:t>where following the order/choreography set out would be difficult.</w:t>
            </w:r>
          </w:p>
        </w:tc>
        <w:tc>
          <w:tcPr>
            <w:tcW w:w="9502" w:type="dxa"/>
          </w:tcPr>
          <w:p w14:paraId="27B85462" w14:textId="08AD253D" w:rsidR="00E64A0F" w:rsidRDefault="00E64A0F" w:rsidP="005C2154">
            <w:pPr>
              <w:spacing w:after="120"/>
            </w:pPr>
            <w:r>
              <w:lastRenderedPageBreak/>
              <w:t>Notwithstanding the concerns that POS has about these proposals</w:t>
            </w:r>
            <w:r w:rsidR="005C2154">
              <w:t xml:space="preserve"> set out above</w:t>
            </w:r>
            <w:r>
              <w:t xml:space="preserve">, we agree </w:t>
            </w:r>
            <w:r w:rsidR="005C2154">
              <w:t>that the proposed steps</w:t>
            </w:r>
            <w:r w:rsidR="007E3139">
              <w:t>,</w:t>
            </w:r>
            <w:r w:rsidR="005C2154">
              <w:t xml:space="preserve"> as set out</w:t>
            </w:r>
            <w:r w:rsidR="007E3139">
              <w:t>,</w:t>
            </w:r>
            <w:r w:rsidR="005C2154">
              <w:t xml:space="preserve"> are necessary before applying for relief.</w:t>
            </w:r>
          </w:p>
        </w:tc>
      </w:tr>
      <w:tr w:rsidR="00D86286" w14:paraId="2710812B" w14:textId="77777777" w:rsidTr="0075424D">
        <w:tc>
          <w:tcPr>
            <w:tcW w:w="5807" w:type="dxa"/>
          </w:tcPr>
          <w:p w14:paraId="7A1BD1C6" w14:textId="57B6408E" w:rsidR="00D86286" w:rsidRDefault="00D86286" w:rsidP="00D86286">
            <w:pPr>
              <w:spacing w:after="120"/>
            </w:pPr>
            <w:r w:rsidRPr="002A3A4B">
              <w:t>14: The Government welcomes views on the proposed application fee, the</w:t>
            </w:r>
            <w:r>
              <w:t xml:space="preserve"> </w:t>
            </w:r>
            <w:r w:rsidRPr="002A3A4B">
              <w:t>level of fee that is proposed and whether this would create any difficulties.</w:t>
            </w:r>
          </w:p>
        </w:tc>
        <w:tc>
          <w:tcPr>
            <w:tcW w:w="9502" w:type="dxa"/>
          </w:tcPr>
          <w:p w14:paraId="184B97F0" w14:textId="7D014A05" w:rsidR="00D86286" w:rsidRDefault="00D86286" w:rsidP="00D86286">
            <w:pPr>
              <w:spacing w:after="120"/>
            </w:pPr>
            <w:r>
              <w:t xml:space="preserve">Notwithstanding the concerns that POS has about these proposals set out above, we agree with </w:t>
            </w:r>
            <w:r w:rsidR="00725408">
              <w:t>the need for a fee</w:t>
            </w:r>
            <w:r>
              <w:t>.</w:t>
            </w:r>
            <w:r w:rsidR="00121ABC">
              <w:t xml:space="preserve"> With respect to the level at which it has been set, £25K is acceptable where the </w:t>
            </w:r>
            <w:r w:rsidR="00F01520">
              <w:t xml:space="preserve">review of the appraisal is carried out in-house, however where </w:t>
            </w:r>
            <w:r w:rsidR="009578C3">
              <w:t>an</w:t>
            </w:r>
            <w:r w:rsidR="00F01520">
              <w:t xml:space="preserve"> LPA needs to use external consultants to do this, the developer should cover those costs.</w:t>
            </w:r>
          </w:p>
        </w:tc>
      </w:tr>
      <w:tr w:rsidR="00D86286" w14:paraId="5F27DBC1" w14:textId="77777777" w:rsidTr="0075424D">
        <w:tc>
          <w:tcPr>
            <w:tcW w:w="5807" w:type="dxa"/>
          </w:tcPr>
          <w:p w14:paraId="3F382431" w14:textId="362C0C55" w:rsidR="00D86286" w:rsidRDefault="00D86286" w:rsidP="00D86286">
            <w:pPr>
              <w:spacing w:after="120"/>
            </w:pPr>
            <w:r w:rsidRPr="002A3A4B">
              <w:t>15: The Government welcomes views and evidence on whether 50 per cent</w:t>
            </w:r>
            <w:r>
              <w:t xml:space="preserve"> </w:t>
            </w:r>
            <w:r w:rsidRPr="002A3A4B">
              <w:t>relief for qualifying schemes delivering 20 per cent affordable housing is appropriate,</w:t>
            </w:r>
            <w:r>
              <w:t xml:space="preserve"> </w:t>
            </w:r>
            <w:r w:rsidRPr="002A3A4B">
              <w:t>or whether an alternative approach should be considered.</w:t>
            </w:r>
          </w:p>
        </w:tc>
        <w:tc>
          <w:tcPr>
            <w:tcW w:w="9502" w:type="dxa"/>
          </w:tcPr>
          <w:p w14:paraId="67D12FE9" w14:textId="056C51F5" w:rsidR="00256A2E" w:rsidRDefault="003349BF" w:rsidP="00D86286">
            <w:pPr>
              <w:spacing w:after="120"/>
            </w:pPr>
            <w:r>
              <w:t>See our answer to question 10.</w:t>
            </w:r>
            <w:r w:rsidR="00256A2E">
              <w:t xml:space="preserve"> We do agree with the principle that 20% AH provision must be a precondition for CIL relief.</w:t>
            </w:r>
          </w:p>
        </w:tc>
      </w:tr>
      <w:tr w:rsidR="00D86286" w14:paraId="797F2C94" w14:textId="77777777" w:rsidTr="0075424D">
        <w:tc>
          <w:tcPr>
            <w:tcW w:w="5807" w:type="dxa"/>
          </w:tcPr>
          <w:p w14:paraId="17265A5A" w14:textId="25D2D8CF" w:rsidR="00D86286" w:rsidRDefault="00D86286" w:rsidP="00D86286">
            <w:pPr>
              <w:spacing w:after="120"/>
            </w:pPr>
            <w:r w:rsidRPr="002A3A4B">
              <w:t>16: The Government welcomes views on whether this approach strikes an</w:t>
            </w:r>
            <w:r>
              <w:t xml:space="preserve"> </w:t>
            </w:r>
            <w:r w:rsidRPr="002A3A4B">
              <w:t>appropriate balance and provides a clear incentive for additional affordable housing</w:t>
            </w:r>
            <w:r>
              <w:t xml:space="preserve"> </w:t>
            </w:r>
            <w:r w:rsidRPr="002A3A4B">
              <w:t>to come forward.</w:t>
            </w:r>
          </w:p>
        </w:tc>
        <w:tc>
          <w:tcPr>
            <w:tcW w:w="9502" w:type="dxa"/>
          </w:tcPr>
          <w:p w14:paraId="3564DD01" w14:textId="13261879" w:rsidR="00D86286" w:rsidRDefault="00737A58" w:rsidP="00D86286">
            <w:pPr>
              <w:spacing w:after="120"/>
            </w:pPr>
            <w:r>
              <w:t>See our answer to question 10.</w:t>
            </w:r>
            <w:r w:rsidR="00961A27">
              <w:t xml:space="preserve"> We do not consider that the </w:t>
            </w:r>
            <w:r w:rsidR="000023D6">
              <w:t xml:space="preserve">prospect of </w:t>
            </w:r>
            <w:r w:rsidR="00451EF7">
              <w:t xml:space="preserve">an increase in </w:t>
            </w:r>
            <w:r w:rsidR="000023D6">
              <w:t xml:space="preserve">CIL relief and the financial incentives that </w:t>
            </w:r>
            <w:r w:rsidR="0061773D">
              <w:t>represents</w:t>
            </w:r>
            <w:r w:rsidR="000023D6">
              <w:t xml:space="preserve"> would be commensurate with the </w:t>
            </w:r>
            <w:r w:rsidR="00451EF7">
              <w:t>developer subsidy needed to bring forward AH.</w:t>
            </w:r>
          </w:p>
        </w:tc>
      </w:tr>
      <w:tr w:rsidR="009B1139" w14:paraId="64AFC466" w14:textId="77777777" w:rsidTr="0075424D">
        <w:tc>
          <w:tcPr>
            <w:tcW w:w="5807" w:type="dxa"/>
          </w:tcPr>
          <w:p w14:paraId="4FA04790" w14:textId="4816E194" w:rsidR="009B1139" w:rsidRDefault="009B1139" w:rsidP="009B1139">
            <w:pPr>
              <w:spacing w:after="120"/>
            </w:pPr>
            <w:r w:rsidRPr="002A3A4B">
              <w:t>17: The Government welcomes views on the optimal levels of relief to</w:t>
            </w:r>
            <w:r>
              <w:t xml:space="preserve"> </w:t>
            </w:r>
            <w:r w:rsidRPr="002A3A4B">
              <w:t>ensure development can proceed, while maximising CIL receipts and affordable</w:t>
            </w:r>
            <w:r>
              <w:t xml:space="preserve"> </w:t>
            </w:r>
            <w:r w:rsidRPr="002A3A4B">
              <w:t>housing delivery.</w:t>
            </w:r>
          </w:p>
        </w:tc>
        <w:tc>
          <w:tcPr>
            <w:tcW w:w="9502" w:type="dxa"/>
          </w:tcPr>
          <w:p w14:paraId="52E635EE" w14:textId="308A7076" w:rsidR="009B1139" w:rsidRDefault="009B1139" w:rsidP="009B1139">
            <w:pPr>
              <w:spacing w:after="120"/>
            </w:pPr>
            <w:r>
              <w:t xml:space="preserve">Notwithstanding the concerns that POS has about these proposals set out above, </w:t>
            </w:r>
            <w:r w:rsidR="00926C97">
              <w:t>we broadly agree with the approach set out.</w:t>
            </w:r>
          </w:p>
        </w:tc>
      </w:tr>
      <w:tr w:rsidR="009B1139" w14:paraId="32A37BAC" w14:textId="77777777" w:rsidTr="0075424D">
        <w:tc>
          <w:tcPr>
            <w:tcW w:w="5807" w:type="dxa"/>
          </w:tcPr>
          <w:p w14:paraId="460E6E32" w14:textId="228FC560" w:rsidR="009B1139" w:rsidRDefault="009B1139" w:rsidP="009B1139">
            <w:pPr>
              <w:spacing w:after="120"/>
            </w:pPr>
            <w:r w:rsidRPr="002A3A4B">
              <w:t>18: The Government welcomes views as to whether boroughs should have</w:t>
            </w:r>
            <w:r>
              <w:t xml:space="preserve"> </w:t>
            </w:r>
            <w:r w:rsidRPr="002A3A4B">
              <w:t>any discretion in relation to the relief and if so in what circumstances, and how this</w:t>
            </w:r>
            <w:r>
              <w:t xml:space="preserve"> </w:t>
            </w:r>
            <w:r w:rsidRPr="002A3A4B">
              <w:t>may work such that robust incentives for additional affordable housing remain.</w:t>
            </w:r>
          </w:p>
        </w:tc>
        <w:tc>
          <w:tcPr>
            <w:tcW w:w="9502" w:type="dxa"/>
          </w:tcPr>
          <w:p w14:paraId="32A658A5" w14:textId="7B16B06D" w:rsidR="009B1139" w:rsidRDefault="00202672" w:rsidP="009B1139">
            <w:pPr>
              <w:spacing w:after="120"/>
            </w:pPr>
            <w:r>
              <w:t xml:space="preserve">POS does not consider that there is a need to introduce discretions that go beyond the Exceptional Circumstances Relief </w:t>
            </w:r>
            <w:r w:rsidR="00A023E0">
              <w:t xml:space="preserve">provisions </w:t>
            </w:r>
            <w:r>
              <w:t xml:space="preserve">already contained in </w:t>
            </w:r>
            <w:r w:rsidR="00A023E0">
              <w:t>§</w:t>
            </w:r>
            <w:r w:rsidR="009632C6">
              <w:t>55 of the</w:t>
            </w:r>
            <w:r>
              <w:t xml:space="preserve"> CIL Regulations.</w:t>
            </w:r>
          </w:p>
        </w:tc>
      </w:tr>
      <w:tr w:rsidR="00453F4F" w14:paraId="6953DAE9" w14:textId="77777777" w:rsidTr="0075424D">
        <w:tc>
          <w:tcPr>
            <w:tcW w:w="5807" w:type="dxa"/>
          </w:tcPr>
          <w:p w14:paraId="44CC4522" w14:textId="6B22FB82" w:rsidR="00453F4F" w:rsidRDefault="00453F4F" w:rsidP="00453F4F">
            <w:pPr>
              <w:spacing w:after="120"/>
            </w:pPr>
            <w:r w:rsidRPr="002A3A4B">
              <w:t>19: The Government welcomes views on the appropriate and proportionate</w:t>
            </w:r>
            <w:r>
              <w:t xml:space="preserve"> </w:t>
            </w:r>
            <w:r w:rsidRPr="002A3A4B">
              <w:t>level of information that a developer must provide for a scheme in order to be able to</w:t>
            </w:r>
            <w:r>
              <w:t xml:space="preserve"> </w:t>
            </w:r>
            <w:r w:rsidRPr="002A3A4B">
              <w:t>qualify for the relief, ensuring that only those schemes which genuinely need the</w:t>
            </w:r>
            <w:r>
              <w:t xml:space="preserve"> </w:t>
            </w:r>
            <w:r w:rsidRPr="002A3A4B">
              <w:t>relief are able to benefit from it but avoiding the level of viability testing that would</w:t>
            </w:r>
            <w:r>
              <w:t xml:space="preserve"> </w:t>
            </w:r>
            <w:r w:rsidRPr="002A3A4B">
              <w:t>be required under the GLA’s Viability Tested Route.</w:t>
            </w:r>
          </w:p>
        </w:tc>
        <w:tc>
          <w:tcPr>
            <w:tcW w:w="9502" w:type="dxa"/>
          </w:tcPr>
          <w:p w14:paraId="6B850669" w14:textId="13D4D960" w:rsidR="00453F4F" w:rsidRDefault="00453F4F" w:rsidP="00453F4F">
            <w:pPr>
              <w:spacing w:after="120"/>
            </w:pPr>
            <w:r>
              <w:t>Notwithstanding the concerns that POS has about these proposals set out above, we broadly agree with the approach set out</w:t>
            </w:r>
            <w:r w:rsidR="00F85376">
              <w:t>, although it is still quite a complicated process and will add to the burdens on LPAs.</w:t>
            </w:r>
          </w:p>
        </w:tc>
      </w:tr>
      <w:tr w:rsidR="00453F4F" w14:paraId="0E1F3776" w14:textId="77777777" w:rsidTr="0075424D">
        <w:tc>
          <w:tcPr>
            <w:tcW w:w="5807" w:type="dxa"/>
          </w:tcPr>
          <w:p w14:paraId="510204B8" w14:textId="2D2945EB" w:rsidR="00453F4F" w:rsidRDefault="00453F4F" w:rsidP="00453F4F">
            <w:pPr>
              <w:spacing w:after="120"/>
            </w:pPr>
            <w:r w:rsidRPr="002A3A4B">
              <w:t>20: The Government welcomes views on whether existing enforcement</w:t>
            </w:r>
            <w:r>
              <w:t xml:space="preserve"> </w:t>
            </w:r>
            <w:r w:rsidRPr="002A3A4B">
              <w:t>mechanisms for (</w:t>
            </w:r>
            <w:proofErr w:type="spellStart"/>
            <w:r w:rsidRPr="002A3A4B">
              <w:t>i</w:t>
            </w:r>
            <w:proofErr w:type="spellEnd"/>
            <w:r w:rsidRPr="002A3A4B">
              <w:t>) statutory declarations (see section 5 of the Perjury Act 1911), and</w:t>
            </w:r>
            <w:r>
              <w:t xml:space="preserve"> </w:t>
            </w:r>
            <w:r w:rsidRPr="002A3A4B">
              <w:t>(ii) prosecution under the CIL Regs (see Regulation 110 of the CIL Regs ) for</w:t>
            </w:r>
            <w:r>
              <w:t xml:space="preserve"> </w:t>
            </w:r>
            <w:r w:rsidRPr="002A3A4B">
              <w:t>supplying false or misleading information that is required to be provided under those</w:t>
            </w:r>
            <w:r>
              <w:t xml:space="preserve"> </w:t>
            </w:r>
            <w:r w:rsidRPr="002A3A4B">
              <w:t>Regulations, are sufficient to deter gaming of the system, or whether other deterrents</w:t>
            </w:r>
            <w:r>
              <w:t xml:space="preserve"> </w:t>
            </w:r>
            <w:r w:rsidRPr="002A3A4B">
              <w:t xml:space="preserve">should be made available? If </w:t>
            </w:r>
            <w:r w:rsidRPr="002A3A4B">
              <w:lastRenderedPageBreak/>
              <w:t>you think these are not sufficient, please set out your</w:t>
            </w:r>
            <w:r>
              <w:t xml:space="preserve"> </w:t>
            </w:r>
            <w:r w:rsidRPr="002A3A4B">
              <w:t>reasons and views on what kinds of other deterrents may be needed, noting the</w:t>
            </w:r>
            <w:r>
              <w:t xml:space="preserve"> </w:t>
            </w:r>
            <w:r w:rsidRPr="002A3A4B">
              <w:t>Government’s aims of creating a streamlined and certain process.</w:t>
            </w:r>
          </w:p>
        </w:tc>
        <w:tc>
          <w:tcPr>
            <w:tcW w:w="9502" w:type="dxa"/>
          </w:tcPr>
          <w:p w14:paraId="557BEC25" w14:textId="594B76D3" w:rsidR="00453F4F" w:rsidRDefault="00453F4F" w:rsidP="00453F4F">
            <w:pPr>
              <w:spacing w:after="120"/>
            </w:pPr>
            <w:r>
              <w:lastRenderedPageBreak/>
              <w:t xml:space="preserve">POS considers that it is vital that any such appraisals are prepared by RICS surveyors and that they certify their work in line with RICS </w:t>
            </w:r>
            <w:r w:rsidR="001C6028">
              <w:t xml:space="preserve">recently tightened </w:t>
            </w:r>
            <w:r>
              <w:t xml:space="preserve">rules </w:t>
            </w:r>
            <w:r w:rsidR="001C6028">
              <w:t xml:space="preserve">(following the High Court criticisms in Parkhurst) relating to viability appraisals </w:t>
            </w:r>
            <w:r>
              <w:t xml:space="preserve">to ensure enforceability; merely declaring it is true is </w:t>
            </w:r>
            <w:r w:rsidR="00EF7C25">
              <w:t>not sufficient</w:t>
            </w:r>
            <w:r>
              <w:t>.</w:t>
            </w:r>
          </w:p>
        </w:tc>
      </w:tr>
      <w:tr w:rsidR="00B92BDF" w14:paraId="0D5DDE07" w14:textId="77777777" w:rsidTr="0075424D">
        <w:tc>
          <w:tcPr>
            <w:tcW w:w="5807" w:type="dxa"/>
          </w:tcPr>
          <w:p w14:paraId="5E9F728C" w14:textId="231A3E46" w:rsidR="00B92BDF" w:rsidRDefault="00B92BDF" w:rsidP="00B92BDF">
            <w:pPr>
              <w:spacing w:after="120"/>
            </w:pPr>
            <w:r w:rsidRPr="002A3A4B">
              <w:t>21: The Government is interested in obtaining views on the suitability of the</w:t>
            </w:r>
            <w:r>
              <w:t xml:space="preserve"> </w:t>
            </w:r>
            <w:r w:rsidRPr="002A3A4B">
              <w:t>proposed process for securing the relief. The process is intended to provide</w:t>
            </w:r>
            <w:r>
              <w:t xml:space="preserve"> </w:t>
            </w:r>
            <w:r w:rsidRPr="002A3A4B">
              <w:t>consistent, timely and proportionate decision-making, whilst ensuring that</w:t>
            </w:r>
            <w:r>
              <w:t xml:space="preserve"> </w:t>
            </w:r>
            <w:r w:rsidRPr="002A3A4B">
              <w:t>applications for relief are robust and honest. We welcome feedback on whether these</w:t>
            </w:r>
            <w:r>
              <w:t xml:space="preserve"> </w:t>
            </w:r>
            <w:r w:rsidRPr="002A3A4B">
              <w:t>steps are practical and effective in supporting the intended outcome.</w:t>
            </w:r>
          </w:p>
        </w:tc>
        <w:tc>
          <w:tcPr>
            <w:tcW w:w="9502" w:type="dxa"/>
          </w:tcPr>
          <w:p w14:paraId="25FA460B" w14:textId="649BBAC9" w:rsidR="00B92BDF" w:rsidRDefault="00B92BDF" w:rsidP="00B92BDF">
            <w:pPr>
              <w:spacing w:after="120"/>
            </w:pPr>
            <w:r>
              <w:t>Notwithstanding the concerns that POS has about these proposals set out above, we broadly agree with the approach set out.</w:t>
            </w:r>
          </w:p>
        </w:tc>
      </w:tr>
      <w:tr w:rsidR="00D64A20" w14:paraId="1D17C98E" w14:textId="77777777" w:rsidTr="0056390F">
        <w:tc>
          <w:tcPr>
            <w:tcW w:w="5807" w:type="dxa"/>
          </w:tcPr>
          <w:p w14:paraId="03B99013" w14:textId="2905AE8A" w:rsidR="00D64A20" w:rsidRDefault="00D64A20" w:rsidP="00D64A20">
            <w:pPr>
              <w:spacing w:after="120"/>
            </w:pPr>
            <w:r w:rsidRPr="002A3A4B">
              <w:t>22: Are you supportive of the overall approach proposed to securing relief?</w:t>
            </w:r>
          </w:p>
        </w:tc>
        <w:tc>
          <w:tcPr>
            <w:tcW w:w="9502" w:type="dxa"/>
          </w:tcPr>
          <w:p w14:paraId="00D8ED64" w14:textId="5F89EB97" w:rsidR="00D64A20" w:rsidRDefault="00D64A20" w:rsidP="00D64A20">
            <w:pPr>
              <w:spacing w:after="120"/>
            </w:pPr>
            <w:r>
              <w:t>Notwithstanding the concerns that POS has about these proposals set out above, we broadly agree with the approach set out.</w:t>
            </w:r>
          </w:p>
        </w:tc>
      </w:tr>
      <w:tr w:rsidR="00D64A20" w14:paraId="490375CD" w14:textId="77777777" w:rsidTr="0056390F">
        <w:tc>
          <w:tcPr>
            <w:tcW w:w="5807" w:type="dxa"/>
          </w:tcPr>
          <w:p w14:paraId="349C1737" w14:textId="32DF2049" w:rsidR="00D64A20" w:rsidRDefault="00D64A20" w:rsidP="00D64A20">
            <w:pPr>
              <w:spacing w:after="120"/>
            </w:pPr>
            <w:r w:rsidRPr="002A3A4B">
              <w:t xml:space="preserve">23: Do you foresee any challenges with </w:t>
            </w:r>
            <w:proofErr w:type="gramStart"/>
            <w:r w:rsidRPr="002A3A4B">
              <w:t>particular aspects</w:t>
            </w:r>
            <w:proofErr w:type="gramEnd"/>
            <w:r w:rsidRPr="002A3A4B">
              <w:t xml:space="preserve"> of the approach</w:t>
            </w:r>
            <w:r>
              <w:t xml:space="preserve"> </w:t>
            </w:r>
            <w:r w:rsidRPr="002A3A4B">
              <w:t>proposed to securing relief? If so, how might these be overcome?</w:t>
            </w:r>
          </w:p>
        </w:tc>
        <w:tc>
          <w:tcPr>
            <w:tcW w:w="9502" w:type="dxa"/>
          </w:tcPr>
          <w:p w14:paraId="63337B06" w14:textId="50B177FD" w:rsidR="00D64A20" w:rsidRDefault="00D64A20" w:rsidP="00D64A20">
            <w:pPr>
              <w:spacing w:after="120"/>
            </w:pPr>
            <w:r>
              <w:t xml:space="preserve">Our main </w:t>
            </w:r>
            <w:r w:rsidR="001759C3">
              <w:t>concern</w:t>
            </w:r>
            <w:r>
              <w:t xml:space="preserve"> relates to the accuracy of the viability information provided and we refer to our answer to question </w:t>
            </w:r>
            <w:r w:rsidR="001759C3">
              <w:t>20.</w:t>
            </w:r>
          </w:p>
        </w:tc>
      </w:tr>
      <w:tr w:rsidR="00D64A20" w14:paraId="50B6DDFE" w14:textId="77777777" w:rsidTr="0056390F">
        <w:tc>
          <w:tcPr>
            <w:tcW w:w="5807" w:type="dxa"/>
          </w:tcPr>
          <w:p w14:paraId="24CB08D3" w14:textId="30441D85" w:rsidR="00D64A20" w:rsidRDefault="00D64A20" w:rsidP="00D64A20">
            <w:pPr>
              <w:spacing w:after="120"/>
            </w:pPr>
            <w:r w:rsidRPr="002A3A4B">
              <w:t>24: The Government welcomes views on appropriate clawback provisions</w:t>
            </w:r>
            <w:r>
              <w:t xml:space="preserve"> </w:t>
            </w:r>
            <w:r w:rsidRPr="002A3A4B">
              <w:t>to ensure schemes which benefit from the relief contribute to urgent housing need.</w:t>
            </w:r>
          </w:p>
        </w:tc>
        <w:tc>
          <w:tcPr>
            <w:tcW w:w="9502" w:type="dxa"/>
          </w:tcPr>
          <w:p w14:paraId="1864C608" w14:textId="49A71E88" w:rsidR="009D2507" w:rsidRDefault="00ED7FE2" w:rsidP="00D64A20">
            <w:pPr>
              <w:spacing w:after="120"/>
            </w:pPr>
            <w:r>
              <w:t xml:space="preserve">The challenge of ensuring that schemes are implemented rather than merely commenced is very important. </w:t>
            </w:r>
            <w:r w:rsidR="00C05637">
              <w:t xml:space="preserve">Government </w:t>
            </w:r>
            <w:r w:rsidR="00336E8C">
              <w:t>should</w:t>
            </w:r>
            <w:r w:rsidR="00C05637">
              <w:t xml:space="preserve"> consider this in the context of the statutory provisions relating to </w:t>
            </w:r>
            <w:r w:rsidR="007068D6">
              <w:t>implementation</w:t>
            </w:r>
            <w:r w:rsidR="00C05637">
              <w:t xml:space="preserve"> </w:t>
            </w:r>
            <w:r w:rsidR="00497838">
              <w:t xml:space="preserve">(§56 of the 1990 Act) </w:t>
            </w:r>
            <w:r w:rsidR="00C05637">
              <w:t xml:space="preserve">as this </w:t>
            </w:r>
            <w:r w:rsidR="007068D6">
              <w:t>is at the heart of the problem</w:t>
            </w:r>
            <w:r w:rsidR="00E55960">
              <w:t xml:space="preserve"> and until that is changed this </w:t>
            </w:r>
            <w:r w:rsidR="00656147">
              <w:t xml:space="preserve">issue </w:t>
            </w:r>
            <w:r w:rsidR="00E55960">
              <w:t>will remain a problem and a challenge</w:t>
            </w:r>
            <w:r w:rsidR="007068D6">
              <w:t>. Permissions that are “technically started” (by the digging of a small trench) live forever</w:t>
            </w:r>
            <w:r w:rsidR="00E55960">
              <w:t xml:space="preserve"> under the current provisions and t</w:t>
            </w:r>
            <w:r w:rsidR="007068D6">
              <w:t>his needs to be addressed</w:t>
            </w:r>
            <w:r w:rsidR="00A273D1">
              <w:t xml:space="preserve">. </w:t>
            </w:r>
            <w:r w:rsidR="009D2507">
              <w:t>If it is not, then</w:t>
            </w:r>
            <w:r w:rsidR="00656147">
              <w:t xml:space="preserve"> </w:t>
            </w:r>
            <w:r w:rsidR="00351854">
              <w:t>what is the purpose of time limiting planning permissions</w:t>
            </w:r>
            <w:r w:rsidR="00656147">
              <w:t>?</w:t>
            </w:r>
            <w:r w:rsidR="005633EB">
              <w:t xml:space="preserve"> </w:t>
            </w:r>
          </w:p>
          <w:p w14:paraId="1C1E47D8" w14:textId="603288C6" w:rsidR="00D64A20" w:rsidRDefault="005633EB" w:rsidP="00D64A20">
            <w:pPr>
              <w:spacing w:after="120"/>
            </w:pPr>
            <w:r>
              <w:t xml:space="preserve">The </w:t>
            </w:r>
            <w:r w:rsidR="00DA3E1E">
              <w:t xml:space="preserve">existing </w:t>
            </w:r>
            <w:r>
              <w:t xml:space="preserve">provisions need to be changed to introduce the concept of implementation (ie </w:t>
            </w:r>
            <w:r w:rsidR="00351854">
              <w:t xml:space="preserve">as </w:t>
            </w:r>
            <w:r>
              <w:t xml:space="preserve">a continuous process) rather </w:t>
            </w:r>
            <w:r w:rsidR="00CD092F">
              <w:t>than</w:t>
            </w:r>
            <w:r w:rsidR="008D2114">
              <w:t xml:space="preserve"> a development </w:t>
            </w:r>
            <w:r w:rsidR="00602CDD">
              <w:t xml:space="preserve">just </w:t>
            </w:r>
            <w:r w:rsidR="008D2114">
              <w:t xml:space="preserve">being “initiated” by </w:t>
            </w:r>
            <w:r w:rsidR="00CD092F">
              <w:t xml:space="preserve">carrying out a “material operation” as currently </w:t>
            </w:r>
            <w:r w:rsidR="00CC15E8">
              <w:t xml:space="preserve">set out </w:t>
            </w:r>
            <w:r w:rsidR="00CD092F">
              <w:t xml:space="preserve">in the Act. </w:t>
            </w:r>
          </w:p>
        </w:tc>
      </w:tr>
      <w:tr w:rsidR="00FA3EF4" w14:paraId="67FEFF2A" w14:textId="77777777" w:rsidTr="0056390F">
        <w:tc>
          <w:tcPr>
            <w:tcW w:w="5807" w:type="dxa"/>
          </w:tcPr>
          <w:p w14:paraId="126F3FC7" w14:textId="14991FDF" w:rsidR="00FA3EF4" w:rsidRDefault="00FA3EF4" w:rsidP="00FA3EF4">
            <w:pPr>
              <w:spacing w:after="120"/>
            </w:pPr>
            <w:r w:rsidRPr="002A3A4B">
              <w:t xml:space="preserve">25: Are you supportive of the overall approach proposed to </w:t>
            </w:r>
            <w:proofErr w:type="gramStart"/>
            <w:r w:rsidRPr="002A3A4B">
              <w:t>administering</w:t>
            </w:r>
            <w:proofErr w:type="gramEnd"/>
            <w:r>
              <w:t xml:space="preserve"> </w:t>
            </w:r>
            <w:r w:rsidRPr="002A3A4B">
              <w:t>the relief?</w:t>
            </w:r>
          </w:p>
        </w:tc>
        <w:tc>
          <w:tcPr>
            <w:tcW w:w="9502" w:type="dxa"/>
          </w:tcPr>
          <w:p w14:paraId="50EE7B5A" w14:textId="01698623" w:rsidR="00FA3EF4" w:rsidRDefault="00FA3EF4" w:rsidP="00FA3EF4">
            <w:pPr>
              <w:spacing w:after="120"/>
            </w:pPr>
            <w:r>
              <w:t>Notwithstanding the concerns that POS has about these proposals set out above, we broadly agree with the approach set out.</w:t>
            </w:r>
          </w:p>
        </w:tc>
      </w:tr>
      <w:tr w:rsidR="00392ADA" w14:paraId="7E0FBE0A" w14:textId="77777777" w:rsidTr="0056390F">
        <w:tc>
          <w:tcPr>
            <w:tcW w:w="5807" w:type="dxa"/>
          </w:tcPr>
          <w:p w14:paraId="3C8FD56F" w14:textId="3715A29A" w:rsidR="00392ADA" w:rsidRDefault="00392ADA" w:rsidP="00392ADA">
            <w:pPr>
              <w:spacing w:after="120"/>
            </w:pPr>
            <w:r w:rsidRPr="002A3A4B">
              <w:t xml:space="preserve">26: Do you foresee any challenges with </w:t>
            </w:r>
            <w:proofErr w:type="gramStart"/>
            <w:r w:rsidRPr="002A3A4B">
              <w:t>particular aspects</w:t>
            </w:r>
            <w:proofErr w:type="gramEnd"/>
            <w:r w:rsidRPr="002A3A4B">
              <w:t xml:space="preserve"> of the approach</w:t>
            </w:r>
            <w:r>
              <w:t xml:space="preserve"> </w:t>
            </w:r>
            <w:r w:rsidRPr="002A3A4B">
              <w:t xml:space="preserve">proposed to </w:t>
            </w:r>
            <w:proofErr w:type="gramStart"/>
            <w:r w:rsidRPr="002A3A4B">
              <w:t>administering</w:t>
            </w:r>
            <w:proofErr w:type="gramEnd"/>
            <w:r w:rsidRPr="002A3A4B">
              <w:t xml:space="preserve"> the relief? If so, how might these be overcome?</w:t>
            </w:r>
          </w:p>
        </w:tc>
        <w:tc>
          <w:tcPr>
            <w:tcW w:w="9502" w:type="dxa"/>
          </w:tcPr>
          <w:p w14:paraId="74FBE1BB" w14:textId="265E2152" w:rsidR="00392ADA" w:rsidRDefault="00392ADA" w:rsidP="00392ADA">
            <w:pPr>
              <w:spacing w:after="120"/>
            </w:pPr>
            <w:r>
              <w:t>Notwithstanding the concerns that POS has about these proposals set out above, we broadly agree with the approach set out.</w:t>
            </w:r>
          </w:p>
        </w:tc>
      </w:tr>
      <w:tr w:rsidR="00392ADA" w14:paraId="24CC5F42" w14:textId="77777777" w:rsidTr="0056390F">
        <w:tc>
          <w:tcPr>
            <w:tcW w:w="5807" w:type="dxa"/>
          </w:tcPr>
          <w:p w14:paraId="3CFA7042" w14:textId="57DCD497" w:rsidR="00392ADA" w:rsidRDefault="00392ADA" w:rsidP="00392ADA">
            <w:pPr>
              <w:spacing w:after="120"/>
            </w:pPr>
            <w:r w:rsidRPr="002A3A4B">
              <w:t>27: Do you foresee any challenges with the proposed implementation</w:t>
            </w:r>
            <w:r>
              <w:t xml:space="preserve"> </w:t>
            </w:r>
            <w:r w:rsidRPr="002A3A4B">
              <w:t>process?</w:t>
            </w:r>
          </w:p>
        </w:tc>
        <w:tc>
          <w:tcPr>
            <w:tcW w:w="9502" w:type="dxa"/>
          </w:tcPr>
          <w:p w14:paraId="6EB159BB" w14:textId="7CB76865" w:rsidR="00392ADA" w:rsidRDefault="0062187B" w:rsidP="00392ADA">
            <w:pPr>
              <w:spacing w:after="120"/>
            </w:pPr>
            <w:r>
              <w:t>No</w:t>
            </w:r>
          </w:p>
        </w:tc>
      </w:tr>
      <w:tr w:rsidR="00392ADA" w14:paraId="2C9C9670" w14:textId="77777777" w:rsidTr="0056390F">
        <w:tc>
          <w:tcPr>
            <w:tcW w:w="5807" w:type="dxa"/>
          </w:tcPr>
          <w:p w14:paraId="4F6F3846" w14:textId="78C4EA6C" w:rsidR="00392ADA" w:rsidRDefault="00392ADA" w:rsidP="00392ADA">
            <w:pPr>
              <w:spacing w:after="120"/>
            </w:pPr>
            <w:r w:rsidRPr="002A3A4B">
              <w:t>28: The Government welcomes any views on other ways that developers</w:t>
            </w:r>
            <w:r>
              <w:t xml:space="preserve"> </w:t>
            </w:r>
            <w:r w:rsidRPr="002A3A4B">
              <w:t>could be supported through the CIL system to bring forward developments.</w:t>
            </w:r>
          </w:p>
        </w:tc>
        <w:tc>
          <w:tcPr>
            <w:tcW w:w="9502" w:type="dxa"/>
          </w:tcPr>
          <w:p w14:paraId="78CEB256" w14:textId="33091BD4" w:rsidR="00392ADA" w:rsidRDefault="00A044D8" w:rsidP="00392ADA">
            <w:pPr>
              <w:spacing w:after="120"/>
            </w:pPr>
            <w:r>
              <w:t>None</w:t>
            </w:r>
          </w:p>
        </w:tc>
      </w:tr>
      <w:tr w:rsidR="00392ADA" w14:paraId="6ABF110C" w14:textId="77777777" w:rsidTr="00814A2D">
        <w:tc>
          <w:tcPr>
            <w:tcW w:w="15309" w:type="dxa"/>
            <w:gridSpan w:val="2"/>
          </w:tcPr>
          <w:p w14:paraId="643F4821" w14:textId="1A65DBDA" w:rsidR="00392ADA" w:rsidRPr="00124849" w:rsidRDefault="00392ADA" w:rsidP="00392ADA">
            <w:pPr>
              <w:spacing w:after="120"/>
              <w:rPr>
                <w:b/>
                <w:bCs/>
              </w:rPr>
            </w:pPr>
            <w:r w:rsidRPr="00124849">
              <w:rPr>
                <w:b/>
                <w:bCs/>
              </w:rPr>
              <w:t>Part II: A proposal for permanent changes to the Town and Country Planning (Mayor of London) Order 2008 to support housing delivery in the capital</w:t>
            </w:r>
          </w:p>
        </w:tc>
      </w:tr>
      <w:tr w:rsidR="00392ADA" w14:paraId="0863CDD3" w14:textId="77777777" w:rsidTr="0056390F">
        <w:tc>
          <w:tcPr>
            <w:tcW w:w="5807" w:type="dxa"/>
          </w:tcPr>
          <w:p w14:paraId="3EFDEB40" w14:textId="3B04EEEE" w:rsidR="00392ADA" w:rsidRDefault="00392ADA" w:rsidP="00392ADA">
            <w:pPr>
              <w:spacing w:after="120"/>
            </w:pPr>
            <w:r w:rsidRPr="002A3A4B">
              <w:t>29: Do you agree with the new PSI category of 50 homes or</w:t>
            </w:r>
            <w:r>
              <w:t xml:space="preserve"> </w:t>
            </w:r>
            <w:r w:rsidRPr="002A3A4B">
              <w:t>more? Please state why.</w:t>
            </w:r>
          </w:p>
        </w:tc>
        <w:tc>
          <w:tcPr>
            <w:tcW w:w="9502" w:type="dxa"/>
          </w:tcPr>
          <w:p w14:paraId="4DEAE083" w14:textId="294E0F38" w:rsidR="0059266B" w:rsidRDefault="003854B6" w:rsidP="0059266B">
            <w:pPr>
              <w:spacing w:after="120"/>
            </w:pPr>
            <w:r>
              <w:t xml:space="preserve">On the principle of these proposals, </w:t>
            </w:r>
            <w:r w:rsidR="002D1D5B">
              <w:t>POS is concerned that the statistics given with respect to LB refusals</w:t>
            </w:r>
            <w:r w:rsidR="0059266B">
              <w:t xml:space="preserve"> </w:t>
            </w:r>
            <w:r w:rsidR="00602CDD">
              <w:t xml:space="preserve">of such residential applications </w:t>
            </w:r>
            <w:r w:rsidR="005B755F">
              <w:t xml:space="preserve">used </w:t>
            </w:r>
            <w:r w:rsidR="0059266B">
              <w:t xml:space="preserve">to justify these changes </w:t>
            </w:r>
            <w:r w:rsidR="002A7923">
              <w:t>are</w:t>
            </w:r>
            <w:r w:rsidR="0059266B">
              <w:t xml:space="preserve"> incomplete: </w:t>
            </w:r>
            <w:r w:rsidR="005B755F">
              <w:t xml:space="preserve">(according to the consultation) </w:t>
            </w:r>
            <w:r w:rsidR="0059266B">
              <w:t>since 2021</w:t>
            </w:r>
            <w:r w:rsidR="00D666D6">
              <w:t xml:space="preserve"> there were </w:t>
            </w:r>
            <w:r w:rsidR="0059266B">
              <w:t xml:space="preserve">207 </w:t>
            </w:r>
            <w:r w:rsidR="0000233B">
              <w:t xml:space="preserve">such residential </w:t>
            </w:r>
            <w:r w:rsidR="0059266B">
              <w:t xml:space="preserve">applications, </w:t>
            </w:r>
            <w:r w:rsidR="00D666D6">
              <w:t>of which 33 were</w:t>
            </w:r>
            <w:r w:rsidR="0059266B">
              <w:t xml:space="preserve"> refused</w:t>
            </w:r>
            <w:r w:rsidR="00D666D6">
              <w:t xml:space="preserve">, </w:t>
            </w:r>
            <w:r w:rsidR="005B755F">
              <w:t xml:space="preserve">with </w:t>
            </w:r>
            <w:r w:rsidR="00D666D6">
              <w:t xml:space="preserve">only 19 </w:t>
            </w:r>
            <w:r w:rsidR="005B755F">
              <w:t>going</w:t>
            </w:r>
            <w:r w:rsidR="00D666D6">
              <w:t xml:space="preserve"> to appeal (suggesting that </w:t>
            </w:r>
            <w:r w:rsidR="005A1597">
              <w:t xml:space="preserve">14 </w:t>
            </w:r>
            <w:r w:rsidR="006C438D">
              <w:t xml:space="preserve">clearly </w:t>
            </w:r>
            <w:r w:rsidR="005A1597">
              <w:t>should have been refused</w:t>
            </w:r>
            <w:r w:rsidR="0000233B">
              <w:t xml:space="preserve"> </w:t>
            </w:r>
            <w:r w:rsidR="006C438D">
              <w:t>because even</w:t>
            </w:r>
            <w:r w:rsidR="0000233B">
              <w:t xml:space="preserve"> the developer didn’t challenge the decision</w:t>
            </w:r>
            <w:r w:rsidR="005A1597">
              <w:t xml:space="preserve">) </w:t>
            </w:r>
            <w:r w:rsidR="005221B4">
              <w:t>but the consultation states that “</w:t>
            </w:r>
            <w:r w:rsidR="0059266B">
              <w:t>In some cases appeals</w:t>
            </w:r>
            <w:r w:rsidR="005221B4">
              <w:t xml:space="preserve"> </w:t>
            </w:r>
            <w:r w:rsidR="0059266B">
              <w:t>against refusals were upheld</w:t>
            </w:r>
            <w:r w:rsidR="005221B4">
              <w:t>”. How big is “some”?</w:t>
            </w:r>
            <w:r w:rsidR="002A7923">
              <w:t xml:space="preserve"> </w:t>
            </w:r>
            <w:r w:rsidR="006D70E3">
              <w:t>It sounds like it was a very small number</w:t>
            </w:r>
            <w:r w:rsidR="00BA3B24">
              <w:t>,</w:t>
            </w:r>
            <w:r w:rsidR="006D70E3">
              <w:t xml:space="preserve"> which suggests that this is a non-problem for which </w:t>
            </w:r>
            <w:r w:rsidR="0050410B">
              <w:t xml:space="preserve">the introduction of </w:t>
            </w:r>
            <w:r w:rsidR="006D70E3">
              <w:t>a significant additional level of bureaucracy into the London planning system</w:t>
            </w:r>
            <w:r w:rsidR="0050410B">
              <w:t xml:space="preserve"> is</w:t>
            </w:r>
            <w:r w:rsidR="00460B9F">
              <w:t xml:space="preserve"> not justified</w:t>
            </w:r>
            <w:r w:rsidR="006D70E3">
              <w:t>.</w:t>
            </w:r>
          </w:p>
          <w:p w14:paraId="4D907CB2" w14:textId="6C5BE9E9" w:rsidR="00392ADA" w:rsidRDefault="008B1940" w:rsidP="00392ADA">
            <w:pPr>
              <w:spacing w:after="120"/>
            </w:pPr>
            <w:r>
              <w:t>POS London have two concerns</w:t>
            </w:r>
            <w:r w:rsidR="003854B6">
              <w:t xml:space="preserve"> about the operation of these proposals</w:t>
            </w:r>
            <w:r>
              <w:t>:</w:t>
            </w:r>
          </w:p>
          <w:p w14:paraId="3D90B000" w14:textId="460F63C4" w:rsidR="008B1940" w:rsidRDefault="00B84D3D" w:rsidP="008B1940">
            <w:pPr>
              <w:pStyle w:val="ListParagraph"/>
              <w:numPr>
                <w:ilvl w:val="0"/>
                <w:numId w:val="37"/>
              </w:numPr>
              <w:spacing w:after="120"/>
            </w:pPr>
            <w:r>
              <w:t xml:space="preserve">The logic behind these proposals is that the GLA can act as a fallback safety net to rescue schemes (for approval) where </w:t>
            </w:r>
            <w:r w:rsidR="00393915">
              <w:t>a London Borough is</w:t>
            </w:r>
            <w:r>
              <w:t xml:space="preserve"> looking to refuse. A potential consequence of these provisions is that where there are difficult planning decisions (ie in the teeth of vociferous local objections) </w:t>
            </w:r>
            <w:r w:rsidR="00643A9D">
              <w:t>some London Borough Planning Committees may be more inclined to refuse in the knowledge that the GLA can take the decision and the flack</w:t>
            </w:r>
            <w:r w:rsidR="006C5D22">
              <w:t>, rather</w:t>
            </w:r>
            <w:r w:rsidR="003B2E24">
              <w:t xml:space="preserve"> </w:t>
            </w:r>
            <w:r w:rsidR="006C5D22">
              <w:t>than do so themselves</w:t>
            </w:r>
            <w:r w:rsidR="00643A9D">
              <w:t>.</w:t>
            </w:r>
          </w:p>
          <w:p w14:paraId="2E36D3B0" w14:textId="2B25DC38" w:rsidR="00643A9D" w:rsidRDefault="00380BDD" w:rsidP="008B1940">
            <w:pPr>
              <w:pStyle w:val="ListParagraph"/>
              <w:numPr>
                <w:ilvl w:val="0"/>
                <w:numId w:val="37"/>
              </w:numPr>
              <w:spacing w:after="120"/>
            </w:pPr>
            <w:r>
              <w:t>Whether the GLA has the capacity to deal with what could be a considerable increase in its workload</w:t>
            </w:r>
            <w:r w:rsidR="0089094D">
              <w:t>, diluting the contribution it can make to the larger</w:t>
            </w:r>
            <w:r w:rsidR="00207740">
              <w:t>,</w:t>
            </w:r>
            <w:r w:rsidR="0089094D">
              <w:t xml:space="preserve"> more strategically important schemes</w:t>
            </w:r>
            <w:r>
              <w:t>.</w:t>
            </w:r>
          </w:p>
        </w:tc>
      </w:tr>
      <w:tr w:rsidR="00E244DB" w14:paraId="3CABEFB1" w14:textId="77777777" w:rsidTr="0056390F">
        <w:tc>
          <w:tcPr>
            <w:tcW w:w="5807" w:type="dxa"/>
          </w:tcPr>
          <w:p w14:paraId="3C20DBF7" w14:textId="78AABC28" w:rsidR="00E244DB" w:rsidRDefault="00E244DB" w:rsidP="00E244DB">
            <w:pPr>
              <w:spacing w:after="120"/>
            </w:pPr>
            <w:r w:rsidRPr="002A3A4B">
              <w:t>30: Do you agree with the streamlined process for the new PSI category?</w:t>
            </w:r>
            <w:r>
              <w:t xml:space="preserve"> </w:t>
            </w:r>
            <w:r w:rsidRPr="002A3A4B">
              <w:t>Please state why.</w:t>
            </w:r>
          </w:p>
        </w:tc>
        <w:tc>
          <w:tcPr>
            <w:tcW w:w="9502" w:type="dxa"/>
          </w:tcPr>
          <w:p w14:paraId="53A35976" w14:textId="1727D203" w:rsidR="00E244DB" w:rsidRDefault="00E244DB" w:rsidP="00E244DB">
            <w:pPr>
              <w:spacing w:after="120"/>
            </w:pPr>
            <w:r>
              <w:t xml:space="preserve">Notwithstanding the concerns that POS has about these proposals set out above, we broadly agree with the </w:t>
            </w:r>
            <w:r w:rsidR="00E84B19">
              <w:t>proposed process</w:t>
            </w:r>
            <w:r>
              <w:t>.</w:t>
            </w:r>
          </w:p>
        </w:tc>
      </w:tr>
      <w:tr w:rsidR="00E244DB" w14:paraId="1A7828CD" w14:textId="77777777" w:rsidTr="0056390F">
        <w:tc>
          <w:tcPr>
            <w:tcW w:w="5807" w:type="dxa"/>
          </w:tcPr>
          <w:p w14:paraId="2B171B64" w14:textId="49014D6E" w:rsidR="00E244DB" w:rsidRDefault="00E244DB" w:rsidP="00E244DB">
            <w:pPr>
              <w:spacing w:after="120"/>
            </w:pPr>
            <w:r w:rsidRPr="002A3A4B">
              <w:t>31: Do you agree that development in Category 3D of the Schedule of the</w:t>
            </w:r>
            <w:r>
              <w:t xml:space="preserve"> </w:t>
            </w:r>
            <w:r w:rsidRPr="002A3A4B">
              <w:t>Mayor of London Order 2008 should be brought into scope of the Mayor’s call-in</w:t>
            </w:r>
            <w:r>
              <w:t xml:space="preserve"> </w:t>
            </w:r>
            <w:r w:rsidRPr="002A3A4B">
              <w:t>power? Please state why.</w:t>
            </w:r>
          </w:p>
        </w:tc>
        <w:tc>
          <w:tcPr>
            <w:tcW w:w="9502" w:type="dxa"/>
          </w:tcPr>
          <w:p w14:paraId="308286BF" w14:textId="0196C5CD" w:rsidR="00E244DB" w:rsidRDefault="00566BE2" w:rsidP="00E244DB">
            <w:pPr>
              <w:spacing w:after="120"/>
            </w:pPr>
            <w:r>
              <w:t>Subject to our general concerns about whether the GLA has the capacity to deal with what could be a considerable increase in its workload</w:t>
            </w:r>
            <w:r w:rsidR="00364EB0">
              <w:t xml:space="preserve"> resulting from all the proposals in this consultation, we do see the logic for this change.</w:t>
            </w:r>
          </w:p>
        </w:tc>
      </w:tr>
      <w:tr w:rsidR="00E244DB" w14:paraId="0B3BE3FF" w14:textId="77777777" w:rsidTr="00BC4936">
        <w:tc>
          <w:tcPr>
            <w:tcW w:w="15309" w:type="dxa"/>
            <w:gridSpan w:val="2"/>
          </w:tcPr>
          <w:p w14:paraId="452DDB1E" w14:textId="47BE8AC8" w:rsidR="00E244DB" w:rsidRPr="00124849" w:rsidRDefault="00E244DB" w:rsidP="00E244DB">
            <w:pPr>
              <w:spacing w:after="120"/>
              <w:rPr>
                <w:rFonts w:cs="Arial"/>
                <w:b/>
                <w:bCs/>
                <w:snapToGrid/>
                <w:color w:val="000000"/>
              </w:rPr>
            </w:pPr>
            <w:r w:rsidRPr="00124849">
              <w:rPr>
                <w:rFonts w:cs="Arial"/>
                <w:b/>
                <w:bCs/>
                <w:snapToGrid/>
                <w:color w:val="000000"/>
              </w:rPr>
              <w:t>Public sector equality duty and Environmental Principles</w:t>
            </w:r>
          </w:p>
        </w:tc>
      </w:tr>
      <w:tr w:rsidR="00E244DB" w14:paraId="5D55D42F" w14:textId="77777777" w:rsidTr="0056390F">
        <w:tc>
          <w:tcPr>
            <w:tcW w:w="5807" w:type="dxa"/>
          </w:tcPr>
          <w:p w14:paraId="77DBC4AE" w14:textId="50F7FB5B" w:rsidR="00E244DB" w:rsidRDefault="00E244DB" w:rsidP="00E244DB">
            <w:pPr>
              <w:spacing w:after="120"/>
            </w:pPr>
            <w:r w:rsidRPr="002A3A4B">
              <w:t>32: Do you have any comments on any potential impacts for you, or the</w:t>
            </w:r>
            <w:r>
              <w:t xml:space="preserve"> </w:t>
            </w:r>
            <w:r w:rsidRPr="002A3A4B">
              <w:t>group or business you represent, and on anyone with a relevant protected</w:t>
            </w:r>
            <w:r>
              <w:t xml:space="preserve"> </w:t>
            </w:r>
            <w:r w:rsidRPr="002A3A4B">
              <w:t xml:space="preserve">characteristic that might arise under the Public Sector Equality Duty </w:t>
            </w:r>
            <w:proofErr w:type="gramStart"/>
            <w:r w:rsidRPr="002A3A4B">
              <w:t>as a result of</w:t>
            </w:r>
            <w:proofErr w:type="gramEnd"/>
            <w:r w:rsidRPr="002A3A4B">
              <w:t xml:space="preserve"> the</w:t>
            </w:r>
            <w:r>
              <w:t xml:space="preserve"> </w:t>
            </w:r>
            <w:r w:rsidRPr="002A3A4B">
              <w:t>proposals in this document? Please provide details.</w:t>
            </w:r>
          </w:p>
        </w:tc>
        <w:tc>
          <w:tcPr>
            <w:tcW w:w="9502" w:type="dxa"/>
          </w:tcPr>
          <w:p w14:paraId="45154DC8" w14:textId="3712D32B" w:rsidR="00E244DB" w:rsidRDefault="00E244DB" w:rsidP="00E244DB">
            <w:pPr>
              <w:spacing w:after="120"/>
            </w:pPr>
            <w:r>
              <w:t>No</w:t>
            </w:r>
          </w:p>
        </w:tc>
      </w:tr>
      <w:tr w:rsidR="00E244DB" w14:paraId="524DF5FF" w14:textId="77777777" w:rsidTr="0075424D">
        <w:tc>
          <w:tcPr>
            <w:tcW w:w="5807" w:type="dxa"/>
          </w:tcPr>
          <w:p w14:paraId="651B77B3" w14:textId="259E9CF4" w:rsidR="00E244DB" w:rsidRDefault="00E244DB" w:rsidP="00E244DB">
            <w:pPr>
              <w:spacing w:after="120"/>
            </w:pPr>
            <w:r w:rsidRPr="002A3A4B">
              <w:t>33: Is there anything that could be done to mitigate any impact identified?</w:t>
            </w:r>
          </w:p>
        </w:tc>
        <w:tc>
          <w:tcPr>
            <w:tcW w:w="9502" w:type="dxa"/>
          </w:tcPr>
          <w:p w14:paraId="69CC00F7" w14:textId="21677CC8" w:rsidR="00E244DB" w:rsidRDefault="00E244DB" w:rsidP="00E244DB">
            <w:pPr>
              <w:spacing w:after="120"/>
            </w:pPr>
            <w:r>
              <w:t>N/A</w:t>
            </w:r>
          </w:p>
        </w:tc>
      </w:tr>
      <w:tr w:rsidR="00E244DB" w14:paraId="7150C18D" w14:textId="77777777" w:rsidTr="0075424D">
        <w:tc>
          <w:tcPr>
            <w:tcW w:w="5807" w:type="dxa"/>
          </w:tcPr>
          <w:p w14:paraId="13E3118E" w14:textId="72CFB6A4" w:rsidR="00E244DB" w:rsidRDefault="00E244DB" w:rsidP="00E244DB">
            <w:pPr>
              <w:spacing w:after="120"/>
            </w:pPr>
            <w:r w:rsidRPr="002A3A4B">
              <w:t>34: Do you have any views on the implications of these proposals for the</w:t>
            </w:r>
            <w:r>
              <w:t xml:space="preserve"> </w:t>
            </w:r>
            <w:r w:rsidRPr="002A3A4B">
              <w:t>considerations of the 5 environmental principles identified in the Environment Act</w:t>
            </w:r>
            <w:r>
              <w:t xml:space="preserve"> </w:t>
            </w:r>
            <w:r w:rsidRPr="002A3A4B">
              <w:t>2021?</w:t>
            </w:r>
          </w:p>
        </w:tc>
        <w:tc>
          <w:tcPr>
            <w:tcW w:w="9502" w:type="dxa"/>
          </w:tcPr>
          <w:p w14:paraId="092526DE" w14:textId="2A368ACF" w:rsidR="00E244DB" w:rsidRDefault="00E244DB" w:rsidP="00E244DB">
            <w:pPr>
              <w:spacing w:after="120"/>
            </w:pPr>
            <w:r>
              <w:t>No</w:t>
            </w:r>
          </w:p>
        </w:tc>
      </w:tr>
    </w:tbl>
    <w:p w14:paraId="1565B06B" w14:textId="04C5BBA4" w:rsidR="00B64E57" w:rsidRPr="002A3A4B" w:rsidRDefault="00B64E57" w:rsidP="002A3A4B">
      <w:pPr>
        <w:spacing w:after="120"/>
      </w:pPr>
    </w:p>
    <w:sectPr w:rsidR="00B64E57" w:rsidRPr="002A3A4B" w:rsidSect="00F431F2">
      <w:pgSz w:w="16838" w:h="11906" w:orient="landscape" w:code="9"/>
      <w:pgMar w:top="720" w:right="720" w:bottom="720" w:left="720" w:header="851"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B204" w14:textId="77777777" w:rsidR="00FC4297" w:rsidRDefault="00FC4297" w:rsidP="00A3661A">
      <w:r>
        <w:separator/>
      </w:r>
    </w:p>
  </w:endnote>
  <w:endnote w:type="continuationSeparator" w:id="0">
    <w:p w14:paraId="045A2709" w14:textId="77777777" w:rsidR="00FC4297" w:rsidRDefault="00FC4297"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C948" w14:textId="77777777" w:rsidR="00FC4297" w:rsidRDefault="00FC4297" w:rsidP="00A3661A">
      <w:r>
        <w:separator/>
      </w:r>
    </w:p>
  </w:footnote>
  <w:footnote w:type="continuationSeparator" w:id="0">
    <w:p w14:paraId="57D1452F" w14:textId="77777777" w:rsidR="00FC4297" w:rsidRDefault="00FC4297" w:rsidP="00A36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9AF35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7F64F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C46B9"/>
    <w:multiLevelType w:val="hybridMultilevel"/>
    <w:tmpl w:val="DFCAC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14D59"/>
    <w:multiLevelType w:val="multilevel"/>
    <w:tmpl w:val="2E7E1A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5" w15:restartNumberingAfterBreak="0">
    <w:nsid w:val="318164A6"/>
    <w:multiLevelType w:val="hybridMultilevel"/>
    <w:tmpl w:val="1B40D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E00A1C"/>
    <w:multiLevelType w:val="multilevel"/>
    <w:tmpl w:val="57E45338"/>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3F10BA"/>
    <w:multiLevelType w:val="multilevel"/>
    <w:tmpl w:val="2ECA608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num w:numId="1" w16cid:durableId="1165629198">
    <w:abstractNumId w:val="6"/>
  </w:num>
  <w:num w:numId="2" w16cid:durableId="1150975494">
    <w:abstractNumId w:val="6"/>
  </w:num>
  <w:num w:numId="3" w16cid:durableId="994260663">
    <w:abstractNumId w:val="1"/>
  </w:num>
  <w:num w:numId="4" w16cid:durableId="1448890633">
    <w:abstractNumId w:val="4"/>
  </w:num>
  <w:num w:numId="5" w16cid:durableId="229389940">
    <w:abstractNumId w:val="9"/>
  </w:num>
  <w:num w:numId="6" w16cid:durableId="401611093">
    <w:abstractNumId w:val="7"/>
  </w:num>
  <w:num w:numId="7" w16cid:durableId="596329632">
    <w:abstractNumId w:val="0"/>
  </w:num>
  <w:num w:numId="8" w16cid:durableId="1490439248">
    <w:abstractNumId w:val="6"/>
  </w:num>
  <w:num w:numId="9" w16cid:durableId="1591351008">
    <w:abstractNumId w:val="6"/>
  </w:num>
  <w:num w:numId="10" w16cid:durableId="1517497375">
    <w:abstractNumId w:val="6"/>
  </w:num>
  <w:num w:numId="11" w16cid:durableId="208615366">
    <w:abstractNumId w:val="6"/>
  </w:num>
  <w:num w:numId="12" w16cid:durableId="1270048063">
    <w:abstractNumId w:val="6"/>
  </w:num>
  <w:num w:numId="13" w16cid:durableId="22557919">
    <w:abstractNumId w:val="6"/>
  </w:num>
  <w:num w:numId="14" w16cid:durableId="291836552">
    <w:abstractNumId w:val="6"/>
  </w:num>
  <w:num w:numId="15" w16cid:durableId="1040280102">
    <w:abstractNumId w:val="6"/>
  </w:num>
  <w:num w:numId="16" w16cid:durableId="212160352">
    <w:abstractNumId w:val="6"/>
  </w:num>
  <w:num w:numId="17" w16cid:durableId="339311173">
    <w:abstractNumId w:val="6"/>
  </w:num>
  <w:num w:numId="18" w16cid:durableId="573441913">
    <w:abstractNumId w:val="6"/>
  </w:num>
  <w:num w:numId="19" w16cid:durableId="1573588588">
    <w:abstractNumId w:val="6"/>
  </w:num>
  <w:num w:numId="20" w16cid:durableId="1590388854">
    <w:abstractNumId w:val="6"/>
  </w:num>
  <w:num w:numId="21" w16cid:durableId="802651404">
    <w:abstractNumId w:val="6"/>
  </w:num>
  <w:num w:numId="22" w16cid:durableId="1745255739">
    <w:abstractNumId w:val="6"/>
  </w:num>
  <w:num w:numId="23" w16cid:durableId="1377000775">
    <w:abstractNumId w:val="3"/>
  </w:num>
  <w:num w:numId="24" w16cid:durableId="1139344054">
    <w:abstractNumId w:val="2"/>
  </w:num>
  <w:num w:numId="25" w16cid:durableId="862668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0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916598">
    <w:abstractNumId w:val="9"/>
  </w:num>
  <w:num w:numId="28" w16cid:durableId="682779616">
    <w:abstractNumId w:val="9"/>
  </w:num>
  <w:num w:numId="29" w16cid:durableId="896090766">
    <w:abstractNumId w:val="9"/>
  </w:num>
  <w:num w:numId="30" w16cid:durableId="1330595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9074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690559">
    <w:abstractNumId w:val="9"/>
  </w:num>
  <w:num w:numId="33" w16cid:durableId="115174953">
    <w:abstractNumId w:val="9"/>
  </w:num>
  <w:num w:numId="34" w16cid:durableId="1929847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766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3205362">
    <w:abstractNumId w:val="8"/>
  </w:num>
  <w:num w:numId="37" w16cid:durableId="594439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BB"/>
    <w:rsid w:val="0000233B"/>
    <w:rsid w:val="000023D6"/>
    <w:rsid w:val="000024DE"/>
    <w:rsid w:val="00011525"/>
    <w:rsid w:val="00075684"/>
    <w:rsid w:val="000A5876"/>
    <w:rsid w:val="000C4275"/>
    <w:rsid w:val="000D5CF6"/>
    <w:rsid w:val="000D7458"/>
    <w:rsid w:val="000E720E"/>
    <w:rsid w:val="00104777"/>
    <w:rsid w:val="001176ED"/>
    <w:rsid w:val="00121ABC"/>
    <w:rsid w:val="00124849"/>
    <w:rsid w:val="00131ED8"/>
    <w:rsid w:val="001338E3"/>
    <w:rsid w:val="00134957"/>
    <w:rsid w:val="00141523"/>
    <w:rsid w:val="00143AF5"/>
    <w:rsid w:val="00146A6C"/>
    <w:rsid w:val="00175570"/>
    <w:rsid w:val="001759C3"/>
    <w:rsid w:val="00175F9D"/>
    <w:rsid w:val="0017758A"/>
    <w:rsid w:val="00181CFA"/>
    <w:rsid w:val="001A2161"/>
    <w:rsid w:val="001A56D9"/>
    <w:rsid w:val="001B78B1"/>
    <w:rsid w:val="001C6028"/>
    <w:rsid w:val="001D5FE0"/>
    <w:rsid w:val="001F04BB"/>
    <w:rsid w:val="001F445B"/>
    <w:rsid w:val="001F6225"/>
    <w:rsid w:val="00202672"/>
    <w:rsid w:val="00207740"/>
    <w:rsid w:val="0021102B"/>
    <w:rsid w:val="00227B95"/>
    <w:rsid w:val="00243BB0"/>
    <w:rsid w:val="00247344"/>
    <w:rsid w:val="00255D3C"/>
    <w:rsid w:val="00256A2E"/>
    <w:rsid w:val="002649E5"/>
    <w:rsid w:val="00274ED7"/>
    <w:rsid w:val="0027571E"/>
    <w:rsid w:val="00281CE2"/>
    <w:rsid w:val="00291C7B"/>
    <w:rsid w:val="002A219C"/>
    <w:rsid w:val="002A3A4B"/>
    <w:rsid w:val="002A7923"/>
    <w:rsid w:val="002B1991"/>
    <w:rsid w:val="002B2AF4"/>
    <w:rsid w:val="002B6F56"/>
    <w:rsid w:val="002C2E3C"/>
    <w:rsid w:val="002D1D5B"/>
    <w:rsid w:val="00316BB7"/>
    <w:rsid w:val="00322D5A"/>
    <w:rsid w:val="003349BF"/>
    <w:rsid w:val="00336E8C"/>
    <w:rsid w:val="003408B2"/>
    <w:rsid w:val="003442C8"/>
    <w:rsid w:val="00351854"/>
    <w:rsid w:val="00364EB0"/>
    <w:rsid w:val="00380BDD"/>
    <w:rsid w:val="0038413F"/>
    <w:rsid w:val="003854B6"/>
    <w:rsid w:val="00392ADA"/>
    <w:rsid w:val="00393915"/>
    <w:rsid w:val="00397D2B"/>
    <w:rsid w:val="003B2E24"/>
    <w:rsid w:val="003C45A7"/>
    <w:rsid w:val="003D0852"/>
    <w:rsid w:val="003F2996"/>
    <w:rsid w:val="003F6A17"/>
    <w:rsid w:val="00405160"/>
    <w:rsid w:val="00450A23"/>
    <w:rsid w:val="00451EF7"/>
    <w:rsid w:val="00453F4F"/>
    <w:rsid w:val="00460B9F"/>
    <w:rsid w:val="004641CC"/>
    <w:rsid w:val="00474DD8"/>
    <w:rsid w:val="00480C90"/>
    <w:rsid w:val="00497838"/>
    <w:rsid w:val="004C08B8"/>
    <w:rsid w:val="004D5ECB"/>
    <w:rsid w:val="004E4899"/>
    <w:rsid w:val="00502543"/>
    <w:rsid w:val="0050410B"/>
    <w:rsid w:val="005221B4"/>
    <w:rsid w:val="00526F21"/>
    <w:rsid w:val="00531A12"/>
    <w:rsid w:val="00546726"/>
    <w:rsid w:val="00546D4D"/>
    <w:rsid w:val="005621F1"/>
    <w:rsid w:val="005633EB"/>
    <w:rsid w:val="00566BE2"/>
    <w:rsid w:val="005674D7"/>
    <w:rsid w:val="0057483C"/>
    <w:rsid w:val="005849AF"/>
    <w:rsid w:val="00586191"/>
    <w:rsid w:val="0059266B"/>
    <w:rsid w:val="005A1597"/>
    <w:rsid w:val="005B4E73"/>
    <w:rsid w:val="005B755F"/>
    <w:rsid w:val="005C1189"/>
    <w:rsid w:val="005C2154"/>
    <w:rsid w:val="005E4C60"/>
    <w:rsid w:val="005E7932"/>
    <w:rsid w:val="005F7D7E"/>
    <w:rsid w:val="00602CDD"/>
    <w:rsid w:val="00603C82"/>
    <w:rsid w:val="00612ADF"/>
    <w:rsid w:val="0061773D"/>
    <w:rsid w:val="0062187B"/>
    <w:rsid w:val="00643A9D"/>
    <w:rsid w:val="00656147"/>
    <w:rsid w:val="006607FD"/>
    <w:rsid w:val="00671439"/>
    <w:rsid w:val="00677D22"/>
    <w:rsid w:val="006828A2"/>
    <w:rsid w:val="00694AA6"/>
    <w:rsid w:val="00695B02"/>
    <w:rsid w:val="006B7719"/>
    <w:rsid w:val="006C438D"/>
    <w:rsid w:val="006C5D22"/>
    <w:rsid w:val="006D70E3"/>
    <w:rsid w:val="006F73E7"/>
    <w:rsid w:val="00702536"/>
    <w:rsid w:val="007068D6"/>
    <w:rsid w:val="00710FCC"/>
    <w:rsid w:val="0071318B"/>
    <w:rsid w:val="00725408"/>
    <w:rsid w:val="00737A58"/>
    <w:rsid w:val="0075424D"/>
    <w:rsid w:val="00767307"/>
    <w:rsid w:val="00772243"/>
    <w:rsid w:val="00786F5B"/>
    <w:rsid w:val="007A1A9D"/>
    <w:rsid w:val="007C335A"/>
    <w:rsid w:val="007E0215"/>
    <w:rsid w:val="007E3139"/>
    <w:rsid w:val="007E3A0B"/>
    <w:rsid w:val="007F063E"/>
    <w:rsid w:val="0080018E"/>
    <w:rsid w:val="00801C5E"/>
    <w:rsid w:val="008159D4"/>
    <w:rsid w:val="008170DC"/>
    <w:rsid w:val="00845CE4"/>
    <w:rsid w:val="00846328"/>
    <w:rsid w:val="008511B8"/>
    <w:rsid w:val="0088663C"/>
    <w:rsid w:val="0089094D"/>
    <w:rsid w:val="00893FCB"/>
    <w:rsid w:val="008A0BF8"/>
    <w:rsid w:val="008B1940"/>
    <w:rsid w:val="008B1EAE"/>
    <w:rsid w:val="008B7623"/>
    <w:rsid w:val="008D2114"/>
    <w:rsid w:val="008D4EE3"/>
    <w:rsid w:val="008D75D7"/>
    <w:rsid w:val="008F474F"/>
    <w:rsid w:val="0090413D"/>
    <w:rsid w:val="009226AF"/>
    <w:rsid w:val="00926C97"/>
    <w:rsid w:val="00934820"/>
    <w:rsid w:val="00942692"/>
    <w:rsid w:val="00944805"/>
    <w:rsid w:val="00945241"/>
    <w:rsid w:val="009578C3"/>
    <w:rsid w:val="00961A27"/>
    <w:rsid w:val="00962C94"/>
    <w:rsid w:val="009632C6"/>
    <w:rsid w:val="00965297"/>
    <w:rsid w:val="0098680E"/>
    <w:rsid w:val="009873D1"/>
    <w:rsid w:val="0099289D"/>
    <w:rsid w:val="009950FB"/>
    <w:rsid w:val="009A1667"/>
    <w:rsid w:val="009B1139"/>
    <w:rsid w:val="009C79BE"/>
    <w:rsid w:val="009D2507"/>
    <w:rsid w:val="009E10F1"/>
    <w:rsid w:val="009E3B6E"/>
    <w:rsid w:val="009F56DE"/>
    <w:rsid w:val="00A023E0"/>
    <w:rsid w:val="00A03764"/>
    <w:rsid w:val="00A03B42"/>
    <w:rsid w:val="00A044D8"/>
    <w:rsid w:val="00A2536B"/>
    <w:rsid w:val="00A273D1"/>
    <w:rsid w:val="00A339AE"/>
    <w:rsid w:val="00A3661A"/>
    <w:rsid w:val="00A46994"/>
    <w:rsid w:val="00A93AE6"/>
    <w:rsid w:val="00A96436"/>
    <w:rsid w:val="00AA5E13"/>
    <w:rsid w:val="00AC154C"/>
    <w:rsid w:val="00AC280C"/>
    <w:rsid w:val="00AC6C5E"/>
    <w:rsid w:val="00AD0632"/>
    <w:rsid w:val="00AD3619"/>
    <w:rsid w:val="00AD77BC"/>
    <w:rsid w:val="00B145DD"/>
    <w:rsid w:val="00B23CA2"/>
    <w:rsid w:val="00B275F6"/>
    <w:rsid w:val="00B45709"/>
    <w:rsid w:val="00B57069"/>
    <w:rsid w:val="00B5755D"/>
    <w:rsid w:val="00B61F87"/>
    <w:rsid w:val="00B63404"/>
    <w:rsid w:val="00B64E57"/>
    <w:rsid w:val="00B66BAE"/>
    <w:rsid w:val="00B679EB"/>
    <w:rsid w:val="00B67D3A"/>
    <w:rsid w:val="00B802E0"/>
    <w:rsid w:val="00B84728"/>
    <w:rsid w:val="00B84D3D"/>
    <w:rsid w:val="00B92BDF"/>
    <w:rsid w:val="00B956AA"/>
    <w:rsid w:val="00B96C8A"/>
    <w:rsid w:val="00BA3B24"/>
    <w:rsid w:val="00BC61E6"/>
    <w:rsid w:val="00BC707E"/>
    <w:rsid w:val="00BD6693"/>
    <w:rsid w:val="00BE10B6"/>
    <w:rsid w:val="00BE69B6"/>
    <w:rsid w:val="00C05637"/>
    <w:rsid w:val="00C60422"/>
    <w:rsid w:val="00C62C9D"/>
    <w:rsid w:val="00C66E37"/>
    <w:rsid w:val="00C754F5"/>
    <w:rsid w:val="00C80F21"/>
    <w:rsid w:val="00C835F1"/>
    <w:rsid w:val="00C9079F"/>
    <w:rsid w:val="00C926A0"/>
    <w:rsid w:val="00C939F3"/>
    <w:rsid w:val="00C95640"/>
    <w:rsid w:val="00CC15E8"/>
    <w:rsid w:val="00CD092F"/>
    <w:rsid w:val="00CD7B2C"/>
    <w:rsid w:val="00CF2F7F"/>
    <w:rsid w:val="00D0699A"/>
    <w:rsid w:val="00D134F2"/>
    <w:rsid w:val="00D205F5"/>
    <w:rsid w:val="00D264A2"/>
    <w:rsid w:val="00D351D3"/>
    <w:rsid w:val="00D36D6D"/>
    <w:rsid w:val="00D45D6E"/>
    <w:rsid w:val="00D6419E"/>
    <w:rsid w:val="00D64A20"/>
    <w:rsid w:val="00D666D6"/>
    <w:rsid w:val="00D80232"/>
    <w:rsid w:val="00D86286"/>
    <w:rsid w:val="00D90C21"/>
    <w:rsid w:val="00DA3E1E"/>
    <w:rsid w:val="00DB2BE2"/>
    <w:rsid w:val="00DB76C2"/>
    <w:rsid w:val="00DD3E72"/>
    <w:rsid w:val="00DD6CD0"/>
    <w:rsid w:val="00DE4960"/>
    <w:rsid w:val="00DF0961"/>
    <w:rsid w:val="00E04A83"/>
    <w:rsid w:val="00E06DA7"/>
    <w:rsid w:val="00E106F6"/>
    <w:rsid w:val="00E10F04"/>
    <w:rsid w:val="00E151A6"/>
    <w:rsid w:val="00E244DB"/>
    <w:rsid w:val="00E30CC3"/>
    <w:rsid w:val="00E34131"/>
    <w:rsid w:val="00E433F4"/>
    <w:rsid w:val="00E55960"/>
    <w:rsid w:val="00E60D9D"/>
    <w:rsid w:val="00E64A0F"/>
    <w:rsid w:val="00E84B19"/>
    <w:rsid w:val="00EA24A7"/>
    <w:rsid w:val="00EC3D22"/>
    <w:rsid w:val="00EC4F23"/>
    <w:rsid w:val="00EC502B"/>
    <w:rsid w:val="00ED5B72"/>
    <w:rsid w:val="00ED7FE2"/>
    <w:rsid w:val="00EE23D6"/>
    <w:rsid w:val="00EE46A3"/>
    <w:rsid w:val="00EE7173"/>
    <w:rsid w:val="00EF7C25"/>
    <w:rsid w:val="00EF7CB7"/>
    <w:rsid w:val="00F01520"/>
    <w:rsid w:val="00F05982"/>
    <w:rsid w:val="00F12A84"/>
    <w:rsid w:val="00F15620"/>
    <w:rsid w:val="00F36E9F"/>
    <w:rsid w:val="00F3730A"/>
    <w:rsid w:val="00F431F2"/>
    <w:rsid w:val="00F50763"/>
    <w:rsid w:val="00F61246"/>
    <w:rsid w:val="00F62F46"/>
    <w:rsid w:val="00F73070"/>
    <w:rsid w:val="00F85376"/>
    <w:rsid w:val="00F940A1"/>
    <w:rsid w:val="00FA2AB5"/>
    <w:rsid w:val="00FA3EF4"/>
    <w:rsid w:val="00FA4B26"/>
    <w:rsid w:val="00FA7B3F"/>
    <w:rsid w:val="00FB3523"/>
    <w:rsid w:val="00FB3A21"/>
    <w:rsid w:val="00FC255A"/>
    <w:rsid w:val="00FC4297"/>
    <w:rsid w:val="00FC5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0F24D"/>
  <w15:chartTrackingRefBased/>
  <w15:docId w15:val="{A47DB161-2F1E-2048-B5E1-A29AB287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snapToGrid w:val="0"/>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qFormat/>
    <w:rsid w:val="00D0699A"/>
    <w:pPr>
      <w:keepNext/>
      <w:keepLines/>
      <w:numPr>
        <w:numId w:val="1"/>
      </w:numPr>
      <w:tabs>
        <w:tab w:val="left" w:pos="720"/>
      </w:tabs>
      <w:spacing w:after="120"/>
      <w:outlineLvl w:val="0"/>
    </w:pPr>
    <w:rPr>
      <w:caps/>
      <w:color w:val="E64600"/>
      <w:sz w:val="40"/>
      <w:szCs w:val="40"/>
    </w:rPr>
  </w:style>
  <w:style w:type="paragraph" w:styleId="Heading2">
    <w:name w:val="heading 2"/>
    <w:basedOn w:val="Normal"/>
    <w:next w:val="BodyText"/>
    <w:qFormat/>
    <w:rsid w:val="00FA2AB5"/>
    <w:pPr>
      <w:keepNext/>
      <w:keepLines/>
      <w:spacing w:after="120"/>
      <w:ind w:left="720"/>
      <w:outlineLvl w:val="1"/>
    </w:pPr>
    <w:rPr>
      <w:color w:val="E64600"/>
      <w:sz w:val="32"/>
      <w:szCs w:val="32"/>
    </w:rPr>
  </w:style>
  <w:style w:type="paragraph" w:styleId="Heading3">
    <w:name w:val="heading 3"/>
    <w:basedOn w:val="Normal"/>
    <w:next w:val="BodyText"/>
    <w:qFormat/>
    <w:rsid w:val="00FA2AB5"/>
    <w:pPr>
      <w:keepNext/>
      <w:keepLines/>
      <w:spacing w:after="120"/>
      <w:ind w:left="720"/>
      <w:outlineLvl w:val="2"/>
    </w:pPr>
    <w:rPr>
      <w:color w:val="E64600"/>
      <w:sz w:val="24"/>
      <w:szCs w:val="24"/>
    </w:rPr>
  </w:style>
  <w:style w:type="paragraph" w:styleId="Heading4">
    <w:name w:val="heading 4"/>
    <w:basedOn w:val="Normal"/>
    <w:next w:val="BodyText"/>
    <w:qFormat/>
    <w:rsid w:val="00FA2AB5"/>
    <w:pPr>
      <w:keepNext/>
      <w:keepLines/>
      <w:spacing w:after="120"/>
      <w:ind w:left="720"/>
      <w:outlineLvl w:val="3"/>
    </w:pPr>
    <w:rPr>
      <w:sz w:val="24"/>
      <w:szCs w:val="24"/>
    </w:rPr>
  </w:style>
  <w:style w:type="paragraph" w:styleId="Heading5">
    <w:name w:val="heading 5"/>
    <w:basedOn w:val="Normal"/>
    <w:next w:val="Normal"/>
    <w:link w:val="Heading5Char"/>
    <w:uiPriority w:val="9"/>
    <w:unhideWhenUsed/>
    <w:rsid w:val="00EA24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1F04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04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04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04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A2AB5"/>
    <w:pPr>
      <w:keepLines/>
      <w:numPr>
        <w:ilvl w:val="1"/>
        <w:numId w:val="1"/>
      </w:numPr>
      <w:spacing w:after="120"/>
    </w:pPr>
  </w:style>
  <w:style w:type="paragraph" w:styleId="Footer">
    <w:name w:val="footer"/>
    <w:basedOn w:val="Header"/>
    <w:uiPriority w:val="1"/>
    <w:rsid w:val="00702536"/>
    <w:pPr>
      <w:pBdr>
        <w:top w:val="single" w:sz="4" w:space="6" w:color="E64600"/>
        <w:bottom w:val="none" w:sz="0" w:space="0" w:color="auto"/>
      </w:pBdr>
      <w:spacing w:before="240" w:after="0"/>
    </w:pPr>
  </w:style>
  <w:style w:type="paragraph" w:styleId="Header">
    <w:name w:val="header"/>
    <w:basedOn w:val="Normal"/>
    <w:link w:val="HeaderChar"/>
    <w:uiPriority w:val="99"/>
    <w:rsid w:val="00702536"/>
    <w:pPr>
      <w:pBdr>
        <w:bottom w:val="single" w:sz="4" w:space="6" w:color="E64600"/>
      </w:pBdr>
      <w:tabs>
        <w:tab w:val="right" w:pos="9070"/>
      </w:tabs>
      <w:spacing w:after="240" w:line="360" w:lineRule="auto"/>
      <w:jc w:val="center"/>
    </w:pPr>
    <w:rPr>
      <w:color w:val="E64600"/>
      <w:szCs w:val="24"/>
    </w:rPr>
  </w:style>
  <w:style w:type="paragraph" w:styleId="ListBullet">
    <w:name w:val="List Bullet"/>
    <w:basedOn w:val="Normal"/>
    <w:qFormat/>
    <w:rsid w:val="00FA2AB5"/>
    <w:pPr>
      <w:numPr>
        <w:numId w:val="4"/>
      </w:numPr>
      <w:tabs>
        <w:tab w:val="clear" w:pos="1080"/>
        <w:tab w:val="left" w:pos="1077"/>
      </w:tabs>
      <w:spacing w:after="120"/>
      <w:contextualSpacing/>
    </w:pPr>
  </w:style>
  <w:style w:type="paragraph" w:customStyle="1" w:styleId="ListNumbered">
    <w:name w:val="List Numbered"/>
    <w:basedOn w:val="Normal"/>
    <w:qFormat/>
    <w:rsid w:val="00FA2AB5"/>
    <w:pPr>
      <w:numPr>
        <w:numId w:val="5"/>
      </w:numPr>
      <w:tabs>
        <w:tab w:val="clear" w:pos="1080"/>
        <w:tab w:val="left" w:pos="1077"/>
      </w:tabs>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rsid w:val="00D0699A"/>
    <w:pPr>
      <w:keepLines/>
      <w:spacing w:after="240"/>
    </w:pPr>
    <w:rPr>
      <w:color w:val="E64600"/>
      <w:sz w:val="56"/>
      <w:szCs w:val="56"/>
    </w:rPr>
  </w:style>
  <w:style w:type="paragraph" w:customStyle="1" w:styleId="TITLE2">
    <w:name w:val="TITLE 2"/>
    <w:basedOn w:val="Normal"/>
    <w:next w:val="TITLE3"/>
    <w:rsid w:val="00D0699A"/>
    <w:pPr>
      <w:keepLines/>
      <w:spacing w:after="240"/>
    </w:pPr>
    <w:rPr>
      <w:color w:val="E64600"/>
      <w:sz w:val="48"/>
      <w:szCs w:val="48"/>
    </w:rPr>
  </w:style>
  <w:style w:type="paragraph" w:customStyle="1" w:styleId="TITLE3">
    <w:name w:val="TITLE 3"/>
    <w:basedOn w:val="Normal"/>
    <w:rsid w:val="00D0699A"/>
    <w:pPr>
      <w:keepLines/>
      <w:spacing w:after="240"/>
    </w:pPr>
    <w:rPr>
      <w:sz w:val="40"/>
      <w:szCs w:val="40"/>
    </w:rPr>
  </w:style>
  <w:style w:type="paragraph" w:styleId="TOC1">
    <w:name w:val="toc 1"/>
    <w:basedOn w:val="Normal"/>
    <w:next w:val="Normal"/>
    <w:uiPriority w:val="39"/>
    <w:rsid w:val="00C754F5"/>
    <w:pPr>
      <w:keepNext/>
      <w:keepLines/>
      <w:tabs>
        <w:tab w:val="left" w:pos="357"/>
        <w:tab w:val="right" w:pos="9072"/>
      </w:tabs>
      <w:spacing w:before="240"/>
      <w:ind w:left="357" w:hanging="357"/>
    </w:pPr>
    <w:rPr>
      <w:caps/>
      <w:noProof/>
    </w:rPr>
  </w:style>
  <w:style w:type="paragraph" w:styleId="TOC2">
    <w:name w:val="toc 2"/>
    <w:basedOn w:val="Normal"/>
    <w:next w:val="Normal"/>
    <w:uiPriority w:val="39"/>
    <w:rsid w:val="00C754F5"/>
    <w:pPr>
      <w:keepNext/>
      <w:keepLines/>
      <w:tabs>
        <w:tab w:val="right" w:pos="9072"/>
      </w:tabs>
      <w:ind w:left="357"/>
    </w:pPr>
    <w:rPr>
      <w:noProof/>
    </w:rPr>
  </w:style>
  <w:style w:type="paragraph" w:styleId="TOC3">
    <w:name w:val="toc 3"/>
    <w:basedOn w:val="Normal"/>
    <w:next w:val="Normal"/>
    <w:uiPriority w:val="39"/>
    <w:rsid w:val="00C754F5"/>
    <w:pPr>
      <w:keepLines/>
      <w:tabs>
        <w:tab w:val="right" w:pos="9072"/>
      </w:tabs>
      <w:ind w:left="720"/>
    </w:pPr>
    <w:rPr>
      <w:noProof/>
    </w:rPr>
  </w:style>
  <w:style w:type="paragraph" w:customStyle="1" w:styleId="TOCTITLE">
    <w:name w:val="TOC TITLE"/>
    <w:basedOn w:val="Normal"/>
    <w:next w:val="TOC1"/>
    <w:uiPriority w:val="1"/>
    <w:rsid w:val="00A3661A"/>
    <w:pPr>
      <w:keepNext/>
      <w:keepLines/>
      <w:spacing w:after="120"/>
    </w:pPr>
    <w:rPr>
      <w:color w:val="E64600"/>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702536"/>
    <w:rPr>
      <w:color w:val="E6460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sz w:val="24"/>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36"/>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F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semiHidden/>
    <w:unhideWhenUsed/>
    <w:rsid w:val="001F0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unhideWhenUsed/>
    <w:rsid w:val="001F04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1F04BB"/>
    <w:rPr>
      <w:rFonts w:asciiTheme="minorHAnsi" w:eastAsiaTheme="majorEastAsia" w:hAnsiTheme="minorHAnsi" w:cstheme="majorBidi"/>
      <w:color w:val="595959" w:themeColor="text1" w:themeTint="A6"/>
      <w:spacing w:val="15"/>
      <w:sz w:val="28"/>
      <w:szCs w:val="28"/>
    </w:rPr>
  </w:style>
  <w:style w:type="character" w:styleId="IntenseEmphasis">
    <w:name w:val="Intense Emphasis"/>
    <w:basedOn w:val="DefaultParagraphFont"/>
    <w:uiPriority w:val="21"/>
    <w:semiHidden/>
    <w:unhideWhenUsed/>
    <w:rsid w:val="001F04BB"/>
    <w:rPr>
      <w:i/>
      <w:iCs/>
      <w:color w:val="2F5496" w:themeColor="accent1" w:themeShade="BF"/>
    </w:rPr>
  </w:style>
  <w:style w:type="paragraph" w:styleId="IntenseQuote">
    <w:name w:val="Intense Quote"/>
    <w:basedOn w:val="Normal"/>
    <w:next w:val="Normal"/>
    <w:link w:val="IntenseQuoteChar"/>
    <w:uiPriority w:val="30"/>
    <w:semiHidden/>
    <w:unhideWhenUsed/>
    <w:rsid w:val="001F0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1F04BB"/>
    <w:rPr>
      <w:i/>
      <w:iCs/>
      <w:color w:val="2F5496" w:themeColor="accent1" w:themeShade="BF"/>
    </w:rPr>
  </w:style>
  <w:style w:type="character" w:styleId="IntenseReference">
    <w:name w:val="Intense Reference"/>
    <w:basedOn w:val="DefaultParagraphFont"/>
    <w:uiPriority w:val="32"/>
    <w:semiHidden/>
    <w:unhideWhenUsed/>
    <w:rsid w:val="001F04BB"/>
    <w:rPr>
      <w:b/>
      <w:bCs/>
      <w:smallCaps/>
      <w:color w:val="2F5496" w:themeColor="accent1" w:themeShade="BF"/>
      <w:spacing w:val="5"/>
    </w:rPr>
  </w:style>
  <w:style w:type="paragraph" w:customStyle="1" w:styleId="p1">
    <w:name w:val="p1"/>
    <w:basedOn w:val="Normal"/>
    <w:rsid w:val="00D134F2"/>
    <w:rPr>
      <w:rFonts w:ascii="Arial" w:hAnsi="Arial" w:cs="Arial"/>
      <w:snapToGri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officers.org.uk/uploads/POS-MBP13-Housing%20Crisi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8019-B1FF-0F4C-B49F-F0B1CC14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Report Template (Times New Roman)</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(Times New Roman)</dc:title>
  <dc:subject/>
  <dc:creator>Michael Kiely</dc:creator>
  <cp:keywords/>
  <dc:description/>
  <cp:lastModifiedBy>Rachel Armstrong</cp:lastModifiedBy>
  <cp:revision>2</cp:revision>
  <cp:lastPrinted>2015-05-17T12:18:00Z</cp:lastPrinted>
  <dcterms:created xsi:type="dcterms:W3CDTF">2026-01-19T13:55:00Z</dcterms:created>
  <dcterms:modified xsi:type="dcterms:W3CDTF">2026-01-19T13:55:00Z</dcterms:modified>
</cp:coreProperties>
</file>